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C9" w:rsidRDefault="00621BC9" w:rsidP="005878DA">
      <w:pPr>
        <w:overflowPunct w:val="0"/>
        <w:autoSpaceDE w:val="0"/>
        <w:autoSpaceDN w:val="0"/>
        <w:adjustRightInd w:val="0"/>
        <w:spacing w:before="120" w:after="0" w:line="240" w:lineRule="auto"/>
        <w:ind w:left="-284"/>
        <w:jc w:val="center"/>
        <w:textAlignment w:val="baseline"/>
        <w:rPr>
          <w:sz w:val="28"/>
          <w:szCs w:val="28"/>
        </w:rPr>
      </w:pPr>
    </w:p>
    <w:p w:rsidR="005878DA" w:rsidRPr="005878DA" w:rsidRDefault="005878DA" w:rsidP="005878DA">
      <w:pPr>
        <w:overflowPunct w:val="0"/>
        <w:autoSpaceDE w:val="0"/>
        <w:autoSpaceDN w:val="0"/>
        <w:adjustRightInd w:val="0"/>
        <w:spacing w:before="120" w:after="0" w:line="240" w:lineRule="auto"/>
        <w:ind w:left="-284"/>
        <w:jc w:val="center"/>
        <w:textAlignment w:val="baseline"/>
        <w:rPr>
          <w:sz w:val="28"/>
          <w:szCs w:val="28"/>
        </w:rPr>
      </w:pPr>
      <w:r>
        <w:rPr>
          <w:noProof/>
        </w:rPr>
        <w:drawing>
          <wp:anchor distT="0" distB="0" distL="114300" distR="114300" simplePos="0" relativeHeight="251659264" behindDoc="1" locked="0" layoutInCell="1" allowOverlap="1" wp14:anchorId="26E5837F" wp14:editId="4DF26113">
            <wp:simplePos x="0" y="0"/>
            <wp:positionH relativeFrom="page">
              <wp:posOffset>111392</wp:posOffset>
            </wp:positionH>
            <wp:positionV relativeFrom="page">
              <wp:posOffset>99462</wp:posOffset>
            </wp:positionV>
            <wp:extent cx="1710055" cy="885825"/>
            <wp:effectExtent l="0" t="0" r="4445" b="9525"/>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05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D</w:t>
      </w:r>
      <w:r w:rsidRPr="005878DA">
        <w:rPr>
          <w:sz w:val="28"/>
          <w:szCs w:val="28"/>
        </w:rPr>
        <w:t>ispositions réglementaires d’utilisation des droits à autorisations d’absences utilisables par les agents</w:t>
      </w:r>
      <w:r>
        <w:rPr>
          <w:sz w:val="28"/>
          <w:szCs w:val="28"/>
        </w:rPr>
        <w:t xml:space="preserve"> </w:t>
      </w:r>
      <w:r w:rsidRPr="005878DA">
        <w:rPr>
          <w:sz w:val="28"/>
          <w:szCs w:val="28"/>
        </w:rPr>
        <w:t>pour assister aux</w:t>
      </w:r>
      <w:r>
        <w:rPr>
          <w:sz w:val="28"/>
          <w:szCs w:val="28"/>
        </w:rPr>
        <w:t xml:space="preserve"> </w:t>
      </w:r>
      <w:r w:rsidRPr="005878DA">
        <w:rPr>
          <w:sz w:val="28"/>
          <w:szCs w:val="28"/>
        </w:rPr>
        <w:t>congrès syndicaux</w:t>
      </w:r>
      <w:r>
        <w:rPr>
          <w:sz w:val="28"/>
          <w:szCs w:val="28"/>
        </w:rPr>
        <w:br/>
      </w:r>
      <w:r w:rsidRPr="005878DA">
        <w:rPr>
          <w:sz w:val="28"/>
          <w:szCs w:val="28"/>
        </w:rPr>
        <w:t xml:space="preserve">ainsi qu'aux réunions </w:t>
      </w:r>
      <w:r>
        <w:rPr>
          <w:sz w:val="28"/>
          <w:szCs w:val="28"/>
        </w:rPr>
        <w:t>de leurs organismes directeurs</w:t>
      </w:r>
    </w:p>
    <w:p w:rsidR="005878DA" w:rsidRDefault="005878DA" w:rsidP="005878DA">
      <w:pPr>
        <w:overflowPunct w:val="0"/>
        <w:autoSpaceDE w:val="0"/>
        <w:autoSpaceDN w:val="0"/>
        <w:adjustRightInd w:val="0"/>
        <w:spacing w:before="120" w:after="0" w:line="240" w:lineRule="auto"/>
        <w:ind w:left="-284" w:firstLine="1134"/>
        <w:jc w:val="both"/>
        <w:textAlignment w:val="baseline"/>
      </w:pPr>
    </w:p>
    <w:p w:rsidR="005878DA" w:rsidRDefault="005878DA" w:rsidP="005878DA">
      <w:pPr>
        <w:overflowPunct w:val="0"/>
        <w:autoSpaceDE w:val="0"/>
        <w:autoSpaceDN w:val="0"/>
        <w:adjustRightInd w:val="0"/>
        <w:spacing w:before="120" w:after="0" w:line="240" w:lineRule="auto"/>
        <w:ind w:left="-284" w:firstLine="1134"/>
        <w:jc w:val="both"/>
        <w:textAlignment w:val="baseline"/>
      </w:pPr>
      <w:r>
        <w:t>A noter que le décret n° 2014-1624 du 24 décembre 2014 a modifié sensiblement les dispositions du décret n° 85-397 à ce sujet.</w:t>
      </w:r>
    </w:p>
    <w:p w:rsidR="005878DA" w:rsidRDefault="005878DA" w:rsidP="005878DA">
      <w:pPr>
        <w:overflowPunct w:val="0"/>
        <w:autoSpaceDE w:val="0"/>
        <w:autoSpaceDN w:val="0"/>
        <w:adjustRightInd w:val="0"/>
        <w:spacing w:before="120" w:after="0" w:line="240" w:lineRule="auto"/>
        <w:ind w:left="-284" w:firstLine="1134"/>
        <w:jc w:val="both"/>
        <w:textAlignment w:val="baseline"/>
      </w:pPr>
      <w:r>
        <w:t xml:space="preserve">L’article 15 nous précise désormais que les autorisations d’absence mentionnées aux articles 16 et 17 sont accordées sous réserve des nécessités de service, </w:t>
      </w:r>
      <w:r w:rsidRPr="00D33563">
        <w:rPr>
          <w:b/>
        </w:rPr>
        <w:t>aux représentants des OS</w:t>
      </w:r>
      <w:r>
        <w:t xml:space="preserve"> mandatés pour assister aux congrès syndicaux ainsi qu’aux réunions de leurs organismes directeurs, dont ils sont </w:t>
      </w:r>
      <w:r w:rsidRPr="00D33563">
        <w:rPr>
          <w:b/>
        </w:rPr>
        <w:t>membres élus</w:t>
      </w:r>
      <w:r>
        <w:t xml:space="preserve"> </w:t>
      </w:r>
      <w:r w:rsidRPr="00D33563">
        <w:rPr>
          <w:b/>
        </w:rPr>
        <w:t>ou</w:t>
      </w:r>
      <w:r>
        <w:t xml:space="preserve"> pour lesquels ils sont </w:t>
      </w:r>
      <w:r w:rsidRPr="00D33563">
        <w:rPr>
          <w:b/>
        </w:rPr>
        <w:t>nommément désignés</w:t>
      </w:r>
      <w:r>
        <w:t xml:space="preserve"> conformément aux dispositions des statuts de leur organisation.</w:t>
      </w:r>
    </w:p>
    <w:p w:rsidR="005878DA" w:rsidRDefault="005878DA" w:rsidP="005878DA">
      <w:pPr>
        <w:overflowPunct w:val="0"/>
        <w:autoSpaceDE w:val="0"/>
        <w:autoSpaceDN w:val="0"/>
        <w:adjustRightInd w:val="0"/>
        <w:spacing w:before="120" w:after="0" w:line="240" w:lineRule="auto"/>
        <w:ind w:left="-284" w:firstLine="1134"/>
        <w:jc w:val="both"/>
        <w:textAlignment w:val="baseline"/>
      </w:pPr>
      <w:r>
        <w:t>Ci-dessous, pour mémoire un tableau récapitulant l’évolution de ces règles :</w:t>
      </w:r>
    </w:p>
    <w:p w:rsidR="005878DA" w:rsidRDefault="005878DA" w:rsidP="005878DA">
      <w:pPr>
        <w:overflowPunct w:val="0"/>
        <w:autoSpaceDE w:val="0"/>
        <w:autoSpaceDN w:val="0"/>
        <w:adjustRightInd w:val="0"/>
        <w:spacing w:after="0" w:line="240" w:lineRule="auto"/>
        <w:ind w:left="-284" w:firstLine="1134"/>
        <w:jc w:val="both"/>
        <w:textAlignment w:val="baseline"/>
      </w:pPr>
    </w:p>
    <w:tbl>
      <w:tblPr>
        <w:tblStyle w:val="Grilledutableau"/>
        <w:tblW w:w="10031" w:type="dxa"/>
        <w:tblInd w:w="-284" w:type="dxa"/>
        <w:tblLook w:val="04A0" w:firstRow="1" w:lastRow="0" w:firstColumn="1" w:lastColumn="0" w:noHBand="0" w:noVBand="1"/>
      </w:tblPr>
      <w:tblGrid>
        <w:gridCol w:w="959"/>
        <w:gridCol w:w="851"/>
        <w:gridCol w:w="4678"/>
        <w:gridCol w:w="3543"/>
      </w:tblGrid>
      <w:tr w:rsidR="005878DA" w:rsidTr="00BB0287">
        <w:tc>
          <w:tcPr>
            <w:tcW w:w="959" w:type="dxa"/>
            <w:vMerge w:val="restart"/>
          </w:tcPr>
          <w:p w:rsidR="005878DA" w:rsidRPr="004C09C1" w:rsidRDefault="005878DA" w:rsidP="00BB0287">
            <w:pPr>
              <w:overflowPunct w:val="0"/>
              <w:autoSpaceDE w:val="0"/>
              <w:autoSpaceDN w:val="0"/>
              <w:adjustRightInd w:val="0"/>
              <w:spacing w:before="120"/>
              <w:jc w:val="both"/>
              <w:textAlignment w:val="baseline"/>
              <w:rPr>
                <w:b/>
                <w:sz w:val="18"/>
                <w:szCs w:val="18"/>
                <w:u w:val="single"/>
              </w:rPr>
            </w:pPr>
            <w:r w:rsidRPr="004C09C1">
              <w:rPr>
                <w:b/>
                <w:sz w:val="18"/>
                <w:szCs w:val="18"/>
                <w:u w:val="single"/>
              </w:rPr>
              <w:t>Article 16</w:t>
            </w:r>
          </w:p>
        </w:tc>
        <w:tc>
          <w:tcPr>
            <w:tcW w:w="851" w:type="dxa"/>
            <w:tcBorders>
              <w:bottom w:val="nil"/>
            </w:tcBorders>
          </w:tcPr>
          <w:p w:rsidR="005878DA" w:rsidRPr="00A8548D" w:rsidRDefault="005878DA" w:rsidP="00BB0287">
            <w:pPr>
              <w:overflowPunct w:val="0"/>
              <w:autoSpaceDE w:val="0"/>
              <w:autoSpaceDN w:val="0"/>
              <w:adjustRightInd w:val="0"/>
              <w:spacing w:before="120"/>
              <w:jc w:val="both"/>
              <w:textAlignment w:val="baseline"/>
              <w:rPr>
                <w:sz w:val="18"/>
                <w:szCs w:val="18"/>
              </w:rPr>
            </w:pPr>
            <w:r w:rsidRPr="00A8548D">
              <w:rPr>
                <w:sz w:val="18"/>
                <w:szCs w:val="18"/>
              </w:rPr>
              <w:t>10 jours</w:t>
            </w:r>
          </w:p>
        </w:tc>
        <w:tc>
          <w:tcPr>
            <w:tcW w:w="4678" w:type="dxa"/>
            <w:tcBorders>
              <w:bottom w:val="nil"/>
            </w:tcBorders>
          </w:tcPr>
          <w:p w:rsidR="005878DA" w:rsidRPr="00A8548D" w:rsidRDefault="005878DA" w:rsidP="00BB0287">
            <w:pPr>
              <w:overflowPunct w:val="0"/>
              <w:autoSpaceDE w:val="0"/>
              <w:autoSpaceDN w:val="0"/>
              <w:adjustRightInd w:val="0"/>
              <w:spacing w:before="120"/>
              <w:jc w:val="both"/>
              <w:textAlignment w:val="baseline"/>
              <w:rPr>
                <w:sz w:val="18"/>
                <w:szCs w:val="18"/>
              </w:rPr>
            </w:pPr>
            <w:r w:rsidRPr="00A8548D">
              <w:rPr>
                <w:sz w:val="18"/>
                <w:szCs w:val="18"/>
              </w:rPr>
              <w:t xml:space="preserve">Accordés </w:t>
            </w:r>
            <w:r>
              <w:rPr>
                <w:sz w:val="18"/>
                <w:szCs w:val="18"/>
              </w:rPr>
              <w:t>aux</w:t>
            </w:r>
            <w:r w:rsidRPr="00A8548D">
              <w:rPr>
                <w:sz w:val="18"/>
                <w:szCs w:val="18"/>
              </w:rPr>
              <w:t xml:space="preserve"> </w:t>
            </w:r>
            <w:r>
              <w:rPr>
                <w:sz w:val="18"/>
                <w:szCs w:val="18"/>
              </w:rPr>
              <w:t>représentants syndicaux</w:t>
            </w:r>
            <w:r w:rsidRPr="00A8548D">
              <w:rPr>
                <w:sz w:val="18"/>
                <w:szCs w:val="18"/>
              </w:rPr>
              <w:t xml:space="preserve"> appelés à assister aux congrès ou aux réunions des organismes directeurs :</w:t>
            </w:r>
          </w:p>
          <w:p w:rsidR="005878DA" w:rsidRPr="00A8548D" w:rsidRDefault="005878DA" w:rsidP="005878DA">
            <w:pPr>
              <w:pStyle w:val="Paragraphedeliste"/>
              <w:numPr>
                <w:ilvl w:val="0"/>
                <w:numId w:val="1"/>
              </w:numPr>
              <w:overflowPunct w:val="0"/>
              <w:autoSpaceDE w:val="0"/>
              <w:autoSpaceDN w:val="0"/>
              <w:adjustRightInd w:val="0"/>
              <w:spacing w:before="120"/>
              <w:ind w:left="317" w:hanging="283"/>
              <w:jc w:val="both"/>
              <w:textAlignment w:val="baseline"/>
              <w:rPr>
                <w:sz w:val="18"/>
                <w:szCs w:val="18"/>
              </w:rPr>
            </w:pPr>
            <w:r w:rsidRPr="00A8548D">
              <w:rPr>
                <w:sz w:val="18"/>
                <w:szCs w:val="18"/>
              </w:rPr>
              <w:t xml:space="preserve">des unions, fédérations ou confédérations de syndicats </w:t>
            </w:r>
            <w:r w:rsidRPr="00A8548D">
              <w:rPr>
                <w:b/>
                <w:sz w:val="18"/>
                <w:szCs w:val="18"/>
              </w:rPr>
              <w:t>non représentées au Conseil commun de la fonction publique</w:t>
            </w:r>
          </w:p>
          <w:p w:rsidR="005878DA" w:rsidRPr="00A8548D" w:rsidRDefault="005878DA" w:rsidP="005878DA">
            <w:pPr>
              <w:pStyle w:val="Paragraphedeliste"/>
              <w:numPr>
                <w:ilvl w:val="0"/>
                <w:numId w:val="1"/>
              </w:numPr>
              <w:overflowPunct w:val="0"/>
              <w:autoSpaceDE w:val="0"/>
              <w:autoSpaceDN w:val="0"/>
              <w:adjustRightInd w:val="0"/>
              <w:spacing w:before="120"/>
              <w:ind w:left="317" w:hanging="283"/>
              <w:jc w:val="both"/>
              <w:textAlignment w:val="baseline"/>
              <w:rPr>
                <w:sz w:val="18"/>
                <w:szCs w:val="18"/>
              </w:rPr>
            </w:pPr>
            <w:r w:rsidRPr="00A8548D">
              <w:rPr>
                <w:b/>
                <w:sz w:val="18"/>
                <w:szCs w:val="18"/>
              </w:rPr>
              <w:t>ainsi que des syndicats</w:t>
            </w:r>
            <w:r w:rsidRPr="00A8548D">
              <w:rPr>
                <w:sz w:val="18"/>
                <w:szCs w:val="18"/>
              </w:rPr>
              <w:t xml:space="preserve"> nationaux et </w:t>
            </w:r>
            <w:r w:rsidRPr="00744C70">
              <w:rPr>
                <w:b/>
                <w:sz w:val="18"/>
                <w:szCs w:val="18"/>
                <w:u w:val="single"/>
              </w:rPr>
              <w:t>locaux</w:t>
            </w:r>
            <w:r w:rsidRPr="00A8548D">
              <w:rPr>
                <w:sz w:val="18"/>
                <w:szCs w:val="18"/>
              </w:rPr>
              <w:t xml:space="preserve"> ainsi que les unions régionales, interdépartementales et départementales de syndicats qui leur sont affiliés</w:t>
            </w:r>
          </w:p>
        </w:tc>
        <w:tc>
          <w:tcPr>
            <w:tcW w:w="3543" w:type="dxa"/>
            <w:tcBorders>
              <w:bottom w:val="nil"/>
            </w:tcBorders>
          </w:tcPr>
          <w:p w:rsidR="005878DA" w:rsidRPr="00744C70" w:rsidRDefault="005878DA" w:rsidP="00BB0287">
            <w:pPr>
              <w:overflowPunct w:val="0"/>
              <w:autoSpaceDE w:val="0"/>
              <w:autoSpaceDN w:val="0"/>
              <w:adjustRightInd w:val="0"/>
              <w:spacing w:before="120"/>
              <w:jc w:val="both"/>
              <w:textAlignment w:val="baseline"/>
              <w:rPr>
                <w:b/>
                <w:i/>
                <w:sz w:val="18"/>
                <w:szCs w:val="18"/>
              </w:rPr>
            </w:pPr>
            <w:r w:rsidRPr="00744C70">
              <w:rPr>
                <w:b/>
                <w:i/>
                <w:sz w:val="18"/>
                <w:szCs w:val="18"/>
              </w:rPr>
              <w:t xml:space="preserve">Dans la version antérieure du décret 85-397, </w:t>
            </w:r>
            <w:r>
              <w:rPr>
                <w:b/>
                <w:i/>
                <w:sz w:val="18"/>
                <w:szCs w:val="18"/>
              </w:rPr>
              <w:t>il fallait se référer</w:t>
            </w:r>
            <w:r w:rsidRPr="00744C70">
              <w:rPr>
                <w:b/>
                <w:i/>
                <w:sz w:val="18"/>
                <w:szCs w:val="18"/>
              </w:rPr>
              <w:t xml:space="preserve"> à l’article 13</w:t>
            </w:r>
          </w:p>
          <w:p w:rsidR="005878DA" w:rsidRPr="00FE3C60" w:rsidRDefault="005878DA" w:rsidP="00BB0287">
            <w:pPr>
              <w:overflowPunct w:val="0"/>
              <w:autoSpaceDE w:val="0"/>
              <w:autoSpaceDN w:val="0"/>
              <w:adjustRightInd w:val="0"/>
              <w:spacing w:before="120"/>
              <w:jc w:val="both"/>
              <w:textAlignment w:val="baseline"/>
              <w:rPr>
                <w:i/>
                <w:sz w:val="18"/>
                <w:szCs w:val="18"/>
              </w:rPr>
            </w:pPr>
            <w:r w:rsidRPr="00FE3C60">
              <w:rPr>
                <w:i/>
                <w:sz w:val="18"/>
                <w:szCs w:val="18"/>
              </w:rPr>
              <w:t>Accordés aux agents appelés à assister aux congrès ou aux réunions des organismes directeurs :</w:t>
            </w:r>
          </w:p>
          <w:p w:rsidR="005878DA" w:rsidRPr="00FE3C60" w:rsidRDefault="005878DA" w:rsidP="005878DA">
            <w:pPr>
              <w:pStyle w:val="Paragraphedeliste"/>
              <w:numPr>
                <w:ilvl w:val="0"/>
                <w:numId w:val="1"/>
              </w:numPr>
              <w:overflowPunct w:val="0"/>
              <w:autoSpaceDE w:val="0"/>
              <w:autoSpaceDN w:val="0"/>
              <w:adjustRightInd w:val="0"/>
              <w:spacing w:before="120"/>
              <w:ind w:left="317" w:hanging="284"/>
              <w:jc w:val="both"/>
              <w:textAlignment w:val="baseline"/>
              <w:rPr>
                <w:i/>
                <w:sz w:val="18"/>
                <w:szCs w:val="18"/>
              </w:rPr>
            </w:pPr>
            <w:r w:rsidRPr="00FE3C60">
              <w:rPr>
                <w:i/>
                <w:sz w:val="18"/>
                <w:szCs w:val="18"/>
              </w:rPr>
              <w:t xml:space="preserve">des syndicats </w:t>
            </w:r>
            <w:r w:rsidRPr="004C09C1">
              <w:rPr>
                <w:b/>
                <w:i/>
                <w:sz w:val="18"/>
                <w:szCs w:val="18"/>
              </w:rPr>
              <w:t>nationaux</w:t>
            </w:r>
            <w:r w:rsidRPr="00FE3C60">
              <w:rPr>
                <w:i/>
                <w:sz w:val="18"/>
                <w:szCs w:val="18"/>
              </w:rPr>
              <w:t>, des fédérations et des confédérations de syndicats</w:t>
            </w:r>
          </w:p>
        </w:tc>
      </w:tr>
      <w:tr w:rsidR="005878DA" w:rsidTr="00BB0287">
        <w:tc>
          <w:tcPr>
            <w:tcW w:w="959" w:type="dxa"/>
            <w:vMerge/>
            <w:tcBorders>
              <w:bottom w:val="single" w:sz="4" w:space="0" w:color="auto"/>
            </w:tcBorders>
          </w:tcPr>
          <w:p w:rsidR="005878DA" w:rsidRPr="00A8548D" w:rsidRDefault="005878DA" w:rsidP="00BB0287">
            <w:pPr>
              <w:overflowPunct w:val="0"/>
              <w:autoSpaceDE w:val="0"/>
              <w:autoSpaceDN w:val="0"/>
              <w:adjustRightInd w:val="0"/>
              <w:spacing w:before="120"/>
              <w:jc w:val="both"/>
              <w:textAlignment w:val="baseline"/>
              <w:rPr>
                <w:sz w:val="18"/>
                <w:szCs w:val="18"/>
              </w:rPr>
            </w:pPr>
          </w:p>
        </w:tc>
        <w:tc>
          <w:tcPr>
            <w:tcW w:w="851" w:type="dxa"/>
            <w:tcBorders>
              <w:top w:val="nil"/>
              <w:bottom w:val="single" w:sz="4" w:space="0" w:color="auto"/>
            </w:tcBorders>
          </w:tcPr>
          <w:p w:rsidR="005878DA" w:rsidRPr="00A8548D" w:rsidRDefault="005878DA" w:rsidP="00BB0287">
            <w:pPr>
              <w:overflowPunct w:val="0"/>
              <w:autoSpaceDE w:val="0"/>
              <w:autoSpaceDN w:val="0"/>
              <w:adjustRightInd w:val="0"/>
              <w:spacing w:before="120"/>
              <w:jc w:val="both"/>
              <w:textAlignment w:val="baseline"/>
              <w:rPr>
                <w:sz w:val="18"/>
                <w:szCs w:val="18"/>
              </w:rPr>
            </w:pPr>
            <w:r>
              <w:rPr>
                <w:sz w:val="18"/>
                <w:szCs w:val="18"/>
              </w:rPr>
              <w:t xml:space="preserve">Limite portée à </w:t>
            </w:r>
            <w:r w:rsidRPr="00A8548D">
              <w:rPr>
                <w:sz w:val="18"/>
                <w:szCs w:val="18"/>
              </w:rPr>
              <w:t>20 jours</w:t>
            </w:r>
          </w:p>
        </w:tc>
        <w:tc>
          <w:tcPr>
            <w:tcW w:w="4678" w:type="dxa"/>
            <w:tcBorders>
              <w:top w:val="nil"/>
              <w:bottom w:val="single" w:sz="4" w:space="0" w:color="auto"/>
            </w:tcBorders>
          </w:tcPr>
          <w:p w:rsidR="005878DA" w:rsidRPr="00A8548D" w:rsidRDefault="005878DA" w:rsidP="00BB0287">
            <w:pPr>
              <w:overflowPunct w:val="0"/>
              <w:autoSpaceDE w:val="0"/>
              <w:autoSpaceDN w:val="0"/>
              <w:adjustRightInd w:val="0"/>
              <w:spacing w:before="120"/>
              <w:jc w:val="both"/>
              <w:textAlignment w:val="baseline"/>
              <w:rPr>
                <w:sz w:val="18"/>
                <w:szCs w:val="18"/>
              </w:rPr>
            </w:pPr>
            <w:r>
              <w:rPr>
                <w:sz w:val="18"/>
                <w:szCs w:val="18"/>
              </w:rPr>
              <w:t>pour</w:t>
            </w:r>
            <w:r w:rsidRPr="00A8548D">
              <w:rPr>
                <w:sz w:val="18"/>
                <w:szCs w:val="18"/>
              </w:rPr>
              <w:t xml:space="preserve"> </w:t>
            </w:r>
            <w:r>
              <w:rPr>
                <w:sz w:val="18"/>
                <w:szCs w:val="18"/>
              </w:rPr>
              <w:t>les</w:t>
            </w:r>
            <w:r w:rsidRPr="00A8548D">
              <w:rPr>
                <w:sz w:val="18"/>
                <w:szCs w:val="18"/>
              </w:rPr>
              <w:t xml:space="preserve"> </w:t>
            </w:r>
            <w:r>
              <w:rPr>
                <w:sz w:val="18"/>
                <w:szCs w:val="18"/>
              </w:rPr>
              <w:t>représentants syndicaux</w:t>
            </w:r>
            <w:r w:rsidRPr="00A8548D">
              <w:rPr>
                <w:sz w:val="18"/>
                <w:szCs w:val="18"/>
              </w:rPr>
              <w:t xml:space="preserve"> appelés à assister aux congrès ou aux réunions des organismes directeurs :</w:t>
            </w:r>
          </w:p>
          <w:p w:rsidR="005878DA" w:rsidRPr="00A8548D" w:rsidRDefault="005878DA" w:rsidP="005878DA">
            <w:pPr>
              <w:pStyle w:val="Paragraphedeliste"/>
              <w:numPr>
                <w:ilvl w:val="0"/>
                <w:numId w:val="1"/>
              </w:numPr>
              <w:overflowPunct w:val="0"/>
              <w:autoSpaceDE w:val="0"/>
              <w:autoSpaceDN w:val="0"/>
              <w:adjustRightInd w:val="0"/>
              <w:spacing w:before="120"/>
              <w:ind w:left="317" w:hanging="283"/>
              <w:textAlignment w:val="baseline"/>
              <w:rPr>
                <w:sz w:val="18"/>
                <w:szCs w:val="18"/>
              </w:rPr>
            </w:pPr>
            <w:r w:rsidRPr="00A8548D">
              <w:rPr>
                <w:sz w:val="18"/>
                <w:szCs w:val="18"/>
              </w:rPr>
              <w:t xml:space="preserve">des organismes directeurs des organisations syndicales internationales, ou aux congrès et aux réunions des organismes directeurs des unions, fédérations ou confédérations </w:t>
            </w:r>
            <w:r w:rsidRPr="00A8548D">
              <w:rPr>
                <w:b/>
                <w:sz w:val="18"/>
                <w:szCs w:val="18"/>
              </w:rPr>
              <w:t>représentées au Conseil commun de la fonction publique</w:t>
            </w:r>
          </w:p>
          <w:p w:rsidR="005878DA" w:rsidRPr="00A8548D" w:rsidRDefault="005878DA" w:rsidP="005878DA">
            <w:pPr>
              <w:pStyle w:val="Paragraphedeliste"/>
              <w:numPr>
                <w:ilvl w:val="0"/>
                <w:numId w:val="1"/>
              </w:numPr>
              <w:overflowPunct w:val="0"/>
              <w:autoSpaceDE w:val="0"/>
              <w:autoSpaceDN w:val="0"/>
              <w:adjustRightInd w:val="0"/>
              <w:spacing w:before="120"/>
              <w:ind w:left="317" w:hanging="283"/>
              <w:jc w:val="both"/>
              <w:textAlignment w:val="baseline"/>
              <w:rPr>
                <w:sz w:val="18"/>
                <w:szCs w:val="18"/>
              </w:rPr>
            </w:pPr>
            <w:r w:rsidRPr="00A8548D">
              <w:rPr>
                <w:b/>
                <w:sz w:val="18"/>
                <w:szCs w:val="18"/>
              </w:rPr>
              <w:t>ainsi que des syndicats</w:t>
            </w:r>
            <w:r w:rsidRPr="00A8548D">
              <w:rPr>
                <w:sz w:val="18"/>
                <w:szCs w:val="18"/>
              </w:rPr>
              <w:t xml:space="preserve"> nationaux et </w:t>
            </w:r>
            <w:r w:rsidRPr="00A8548D">
              <w:rPr>
                <w:b/>
                <w:sz w:val="18"/>
                <w:szCs w:val="18"/>
              </w:rPr>
              <w:t>locaux</w:t>
            </w:r>
            <w:r w:rsidRPr="00A8548D">
              <w:rPr>
                <w:sz w:val="18"/>
                <w:szCs w:val="18"/>
              </w:rPr>
              <w:t xml:space="preserve"> ainsi que les unions régionales, interdépartementales et départementales de syndicats qui leur sont affiliés</w:t>
            </w:r>
          </w:p>
        </w:tc>
        <w:tc>
          <w:tcPr>
            <w:tcW w:w="3543" w:type="dxa"/>
            <w:tcBorders>
              <w:top w:val="nil"/>
              <w:bottom w:val="single" w:sz="4" w:space="0" w:color="auto"/>
            </w:tcBorders>
          </w:tcPr>
          <w:p w:rsidR="005878DA" w:rsidRPr="00FE3C60" w:rsidRDefault="005878DA" w:rsidP="00BB0287">
            <w:pPr>
              <w:overflowPunct w:val="0"/>
              <w:autoSpaceDE w:val="0"/>
              <w:autoSpaceDN w:val="0"/>
              <w:adjustRightInd w:val="0"/>
              <w:spacing w:before="120"/>
              <w:jc w:val="both"/>
              <w:textAlignment w:val="baseline"/>
              <w:rPr>
                <w:i/>
                <w:sz w:val="18"/>
                <w:szCs w:val="18"/>
              </w:rPr>
            </w:pPr>
            <w:r w:rsidRPr="00FE3C60">
              <w:rPr>
                <w:i/>
                <w:sz w:val="18"/>
                <w:szCs w:val="18"/>
              </w:rPr>
              <w:t>Accordés aux agents appelés à assister :</w:t>
            </w:r>
          </w:p>
          <w:p w:rsidR="005878DA" w:rsidRPr="00FE3C60" w:rsidRDefault="005878DA" w:rsidP="005878DA">
            <w:pPr>
              <w:pStyle w:val="Paragraphedeliste"/>
              <w:numPr>
                <w:ilvl w:val="0"/>
                <w:numId w:val="1"/>
              </w:numPr>
              <w:overflowPunct w:val="0"/>
              <w:autoSpaceDE w:val="0"/>
              <w:autoSpaceDN w:val="0"/>
              <w:adjustRightInd w:val="0"/>
              <w:spacing w:before="120"/>
              <w:ind w:left="317" w:hanging="284"/>
              <w:textAlignment w:val="baseline"/>
              <w:rPr>
                <w:i/>
                <w:sz w:val="18"/>
                <w:szCs w:val="18"/>
              </w:rPr>
            </w:pPr>
            <w:r w:rsidRPr="00FE3C60">
              <w:rPr>
                <w:i/>
                <w:sz w:val="18"/>
                <w:szCs w:val="18"/>
              </w:rPr>
              <w:t xml:space="preserve">aux congrès syndicaux internationaux ou aux réunions des organismes directeurs des organisations syndicales </w:t>
            </w:r>
            <w:r w:rsidRPr="004C09C1">
              <w:rPr>
                <w:b/>
                <w:i/>
                <w:sz w:val="18"/>
                <w:szCs w:val="18"/>
              </w:rPr>
              <w:t>internationales</w:t>
            </w:r>
            <w:r w:rsidRPr="00FE3C60">
              <w:rPr>
                <w:i/>
                <w:sz w:val="18"/>
                <w:szCs w:val="18"/>
              </w:rPr>
              <w:t xml:space="preserve">, de syndicats nationaux, des fédérations, des confédérations et des instances statutaires </w:t>
            </w:r>
            <w:r w:rsidRPr="004C09C1">
              <w:rPr>
                <w:b/>
                <w:i/>
                <w:sz w:val="18"/>
                <w:szCs w:val="18"/>
              </w:rPr>
              <w:t>départementales</w:t>
            </w:r>
            <w:r w:rsidRPr="00FE3C60">
              <w:rPr>
                <w:i/>
                <w:sz w:val="18"/>
                <w:szCs w:val="18"/>
              </w:rPr>
              <w:t xml:space="preserve">, </w:t>
            </w:r>
            <w:r w:rsidRPr="004C09C1">
              <w:rPr>
                <w:b/>
                <w:i/>
                <w:sz w:val="18"/>
                <w:szCs w:val="18"/>
              </w:rPr>
              <w:t>interdépartementales et régionales</w:t>
            </w:r>
          </w:p>
        </w:tc>
      </w:tr>
      <w:tr w:rsidR="005878DA" w:rsidTr="00BB0287">
        <w:tc>
          <w:tcPr>
            <w:tcW w:w="959" w:type="dxa"/>
            <w:tcBorders>
              <w:top w:val="single" w:sz="4" w:space="0" w:color="auto"/>
            </w:tcBorders>
          </w:tcPr>
          <w:p w:rsidR="005878DA" w:rsidRPr="00A8548D" w:rsidRDefault="005878DA" w:rsidP="00BB0287">
            <w:pPr>
              <w:overflowPunct w:val="0"/>
              <w:autoSpaceDE w:val="0"/>
              <w:autoSpaceDN w:val="0"/>
              <w:adjustRightInd w:val="0"/>
              <w:spacing w:before="120"/>
              <w:jc w:val="both"/>
              <w:textAlignment w:val="baseline"/>
              <w:rPr>
                <w:sz w:val="18"/>
                <w:szCs w:val="18"/>
              </w:rPr>
            </w:pPr>
            <w:r>
              <w:rPr>
                <w:sz w:val="18"/>
                <w:szCs w:val="18"/>
              </w:rPr>
              <w:t>Article 17</w:t>
            </w:r>
          </w:p>
        </w:tc>
        <w:tc>
          <w:tcPr>
            <w:tcW w:w="851" w:type="dxa"/>
            <w:tcBorders>
              <w:top w:val="single" w:sz="4" w:space="0" w:color="auto"/>
            </w:tcBorders>
          </w:tcPr>
          <w:p w:rsidR="005878DA" w:rsidRDefault="005878DA" w:rsidP="00BB0287">
            <w:pPr>
              <w:overflowPunct w:val="0"/>
              <w:autoSpaceDE w:val="0"/>
              <w:autoSpaceDN w:val="0"/>
              <w:adjustRightInd w:val="0"/>
              <w:spacing w:before="120"/>
              <w:jc w:val="both"/>
              <w:textAlignment w:val="baseline"/>
              <w:rPr>
                <w:sz w:val="18"/>
                <w:szCs w:val="18"/>
              </w:rPr>
            </w:pPr>
          </w:p>
        </w:tc>
        <w:tc>
          <w:tcPr>
            <w:tcW w:w="4678" w:type="dxa"/>
            <w:tcBorders>
              <w:top w:val="single" w:sz="4" w:space="0" w:color="auto"/>
            </w:tcBorders>
          </w:tcPr>
          <w:p w:rsidR="005878DA" w:rsidRDefault="005878DA" w:rsidP="00BB0287">
            <w:pPr>
              <w:overflowPunct w:val="0"/>
              <w:autoSpaceDE w:val="0"/>
              <w:autoSpaceDN w:val="0"/>
              <w:adjustRightInd w:val="0"/>
              <w:spacing w:before="120"/>
              <w:jc w:val="both"/>
              <w:textAlignment w:val="baseline"/>
              <w:rPr>
                <w:sz w:val="18"/>
                <w:szCs w:val="18"/>
              </w:rPr>
            </w:pPr>
            <w:r>
              <w:rPr>
                <w:sz w:val="18"/>
                <w:szCs w:val="18"/>
              </w:rPr>
              <w:t>"Les</w:t>
            </w:r>
            <w:r w:rsidRPr="00564D85">
              <w:rPr>
                <w:sz w:val="18"/>
                <w:szCs w:val="18"/>
              </w:rPr>
              <w:t xml:space="preserve"> représentants syndicaux mandatés pour participer aux congrès ou aux réunions statutaires des organismes directeurs d'organisations syndicales </w:t>
            </w:r>
            <w:r w:rsidRPr="00564D85">
              <w:rPr>
                <w:b/>
                <w:sz w:val="18"/>
                <w:szCs w:val="18"/>
              </w:rPr>
              <w:t>d'un autre niveau que ceux mentionnés à l'article 16</w:t>
            </w:r>
            <w:r>
              <w:rPr>
                <w:b/>
                <w:sz w:val="18"/>
                <w:szCs w:val="18"/>
              </w:rPr>
              <w:t> </w:t>
            </w:r>
            <w:r w:rsidRPr="00564D85">
              <w:rPr>
                <w:sz w:val="18"/>
                <w:szCs w:val="18"/>
              </w:rPr>
              <w:t xml:space="preserve"> peuvent bénéficier d'autorisations d'absence imputées sur les crédits d'heure définis en application de l'article 14</w:t>
            </w:r>
            <w:r>
              <w:rPr>
                <w:sz w:val="18"/>
                <w:szCs w:val="18"/>
              </w:rPr>
              <w:t> »</w:t>
            </w:r>
            <w:r w:rsidRPr="00564D85">
              <w:rPr>
                <w:sz w:val="18"/>
                <w:szCs w:val="18"/>
              </w:rPr>
              <w:t>.</w:t>
            </w:r>
          </w:p>
          <w:p w:rsidR="005878DA" w:rsidRPr="00564D85" w:rsidRDefault="005878DA" w:rsidP="00BB0287">
            <w:pPr>
              <w:overflowPunct w:val="0"/>
              <w:autoSpaceDE w:val="0"/>
              <w:autoSpaceDN w:val="0"/>
              <w:adjustRightInd w:val="0"/>
              <w:spacing w:before="120"/>
              <w:jc w:val="both"/>
              <w:textAlignment w:val="baseline"/>
              <w:rPr>
                <w:i/>
                <w:sz w:val="18"/>
                <w:szCs w:val="18"/>
              </w:rPr>
            </w:pPr>
            <w:r w:rsidRPr="00564D85">
              <w:rPr>
                <w:i/>
                <w:sz w:val="18"/>
                <w:szCs w:val="18"/>
              </w:rPr>
              <w:t>L’article 14 fixe les modalités de détermination du contingent d’autorisations d’absence calculé au niveau de chaque comité technique proportionnellement au nombre d’élect</w:t>
            </w:r>
            <w:r>
              <w:rPr>
                <w:i/>
                <w:sz w:val="18"/>
                <w:szCs w:val="18"/>
              </w:rPr>
              <w:t>eu</w:t>
            </w:r>
            <w:r w:rsidRPr="00564D85">
              <w:rPr>
                <w:i/>
                <w:sz w:val="18"/>
                <w:szCs w:val="18"/>
              </w:rPr>
              <w:t>rs inscrits sur la liste électorale du CT à raison d’une heure d’autorisation d’absence pour 1000 heures de travail accomplies par ceux-ci.</w:t>
            </w:r>
          </w:p>
        </w:tc>
        <w:tc>
          <w:tcPr>
            <w:tcW w:w="3543" w:type="dxa"/>
            <w:tcBorders>
              <w:top w:val="single" w:sz="4" w:space="0" w:color="auto"/>
            </w:tcBorders>
          </w:tcPr>
          <w:p w:rsidR="005878DA" w:rsidRPr="00744C70" w:rsidRDefault="005878DA" w:rsidP="00BB0287">
            <w:pPr>
              <w:overflowPunct w:val="0"/>
              <w:autoSpaceDE w:val="0"/>
              <w:autoSpaceDN w:val="0"/>
              <w:adjustRightInd w:val="0"/>
              <w:spacing w:before="120"/>
              <w:jc w:val="both"/>
              <w:textAlignment w:val="baseline"/>
              <w:rPr>
                <w:b/>
                <w:i/>
                <w:sz w:val="18"/>
                <w:szCs w:val="18"/>
              </w:rPr>
            </w:pPr>
            <w:r w:rsidRPr="00744C70">
              <w:rPr>
                <w:b/>
                <w:i/>
                <w:sz w:val="18"/>
                <w:szCs w:val="18"/>
              </w:rPr>
              <w:t>Dans la version antérieure du décret 85-397, il fallait se référer à l’article 14</w:t>
            </w:r>
          </w:p>
          <w:p w:rsidR="005878DA" w:rsidRPr="00564D85" w:rsidRDefault="005878DA" w:rsidP="00BB0287">
            <w:pPr>
              <w:overflowPunct w:val="0"/>
              <w:autoSpaceDE w:val="0"/>
              <w:autoSpaceDN w:val="0"/>
              <w:adjustRightInd w:val="0"/>
              <w:spacing w:before="120"/>
              <w:jc w:val="both"/>
              <w:textAlignment w:val="baseline"/>
              <w:rPr>
                <w:i/>
                <w:sz w:val="18"/>
                <w:szCs w:val="18"/>
              </w:rPr>
            </w:pPr>
            <w:r>
              <w:rPr>
                <w:i/>
                <w:sz w:val="18"/>
                <w:szCs w:val="18"/>
              </w:rPr>
              <w:t>« </w:t>
            </w:r>
            <w:r w:rsidRPr="00564D85">
              <w:rPr>
                <w:i/>
                <w:sz w:val="18"/>
                <w:szCs w:val="18"/>
              </w:rPr>
              <w:t xml:space="preserve">Des autorisations spéciales d'absence sont également accordées aux représentants syndicaux mandatés pour participer aux congrès ou aux réunions statutaires d'organismes directeurs des organisations syndicales </w:t>
            </w:r>
            <w:r w:rsidRPr="00564D85">
              <w:rPr>
                <w:b/>
                <w:i/>
                <w:sz w:val="18"/>
                <w:szCs w:val="18"/>
              </w:rPr>
              <w:t>d'un autre niveau que ceux qui sont indiqués à l'article précédent</w:t>
            </w:r>
            <w:r>
              <w:rPr>
                <w:b/>
                <w:i/>
                <w:sz w:val="18"/>
                <w:szCs w:val="18"/>
              </w:rPr>
              <w:t> » (</w:t>
            </w:r>
            <w:proofErr w:type="spellStart"/>
            <w:r>
              <w:rPr>
                <w:b/>
                <w:i/>
                <w:sz w:val="18"/>
                <w:szCs w:val="18"/>
              </w:rPr>
              <w:t>Cf</w:t>
            </w:r>
            <w:proofErr w:type="spellEnd"/>
            <w:r>
              <w:rPr>
                <w:b/>
                <w:i/>
                <w:sz w:val="18"/>
                <w:szCs w:val="18"/>
              </w:rPr>
              <w:t xml:space="preserve"> art. 13 ci-dessus)</w:t>
            </w:r>
          </w:p>
        </w:tc>
      </w:tr>
    </w:tbl>
    <w:p w:rsidR="005878DA" w:rsidRDefault="005878DA" w:rsidP="005878DA">
      <w:pPr>
        <w:overflowPunct w:val="0"/>
        <w:autoSpaceDE w:val="0"/>
        <w:autoSpaceDN w:val="0"/>
        <w:adjustRightInd w:val="0"/>
        <w:spacing w:before="120" w:after="0" w:line="240" w:lineRule="auto"/>
        <w:ind w:left="-284" w:firstLine="1134"/>
        <w:jc w:val="both"/>
        <w:textAlignment w:val="baseline"/>
      </w:pPr>
      <w:r>
        <w:t xml:space="preserve">D’un point de vue réglementaire, vous pourrez ainsi constater que, les membres siégeant dans les instances des syndicats locaux, non cités dans l’article 13 dans sa version antérieure, se voyaient octroyer jusque fin 2014 une autorisation d’absence sur le crédit local d’autorisations </w:t>
      </w:r>
      <w:bookmarkStart w:id="0" w:name="_GoBack"/>
      <w:r>
        <w:t>accordées au titre de l’article 14.</w:t>
      </w:r>
    </w:p>
    <w:bookmarkEnd w:id="0"/>
    <w:p w:rsidR="005878DA" w:rsidRDefault="005878DA" w:rsidP="005878DA">
      <w:pPr>
        <w:overflowPunct w:val="0"/>
        <w:autoSpaceDE w:val="0"/>
        <w:autoSpaceDN w:val="0"/>
        <w:adjustRightInd w:val="0"/>
        <w:spacing w:before="120" w:after="0" w:line="240" w:lineRule="auto"/>
        <w:ind w:left="-284" w:firstLine="1135"/>
        <w:jc w:val="both"/>
        <w:textAlignment w:val="baseline"/>
      </w:pPr>
      <w:r>
        <w:lastRenderedPageBreak/>
        <w:t>A compter de janvier 2015, les autorisations d’absence pour ces représentants syndicaux sont désormais imputées sur le crédit de 10 à 20 jours selon qu’ils relèvent d’unions</w:t>
      </w:r>
      <w:r w:rsidRPr="00A8548D">
        <w:rPr>
          <w:sz w:val="18"/>
          <w:szCs w:val="18"/>
        </w:rPr>
        <w:t xml:space="preserve">, </w:t>
      </w:r>
      <w:r w:rsidRPr="00D85AF8">
        <w:t>fédérations ou confédérations de syndicats</w:t>
      </w:r>
      <w:r>
        <w:t xml:space="preserve"> représentées ou non au Conseil Commun de la Fonction Publique. </w:t>
      </w:r>
    </w:p>
    <w:p w:rsidR="005878DA" w:rsidRDefault="005878DA" w:rsidP="005878DA">
      <w:pPr>
        <w:overflowPunct w:val="0"/>
        <w:autoSpaceDE w:val="0"/>
        <w:autoSpaceDN w:val="0"/>
        <w:adjustRightInd w:val="0"/>
        <w:spacing w:before="120" w:after="0" w:line="240" w:lineRule="auto"/>
        <w:ind w:left="-284" w:firstLine="1135"/>
        <w:jc w:val="both"/>
        <w:textAlignment w:val="baseline"/>
      </w:pPr>
      <w:r>
        <w:t>La circulaire ministérielle du 20 janvier 2016 précise d’ailleurs que les autorisations d’absence imputées sur le crédit d’heures prévu à l’article 14 concernent les réunions des structures locales d’un syndicat national et des sections syndicales prévues à l’article 17.</w:t>
      </w:r>
    </w:p>
    <w:p w:rsidR="005878DA" w:rsidRDefault="005878DA" w:rsidP="005878DA">
      <w:pPr>
        <w:overflowPunct w:val="0"/>
        <w:autoSpaceDE w:val="0"/>
        <w:autoSpaceDN w:val="0"/>
        <w:adjustRightInd w:val="0"/>
        <w:spacing w:before="120" w:after="0" w:line="240" w:lineRule="auto"/>
        <w:ind w:left="-284" w:firstLine="1135"/>
        <w:jc w:val="both"/>
        <w:textAlignment w:val="baseline"/>
      </w:pPr>
      <w:r>
        <w:t>Enfin, un courrier de la DGCL du 15 décembre 2016 adressé à M. Philippe MOUCHEL, membre de la commission exécutive de la fédération CGT des services publics complétait ces informations en précisant que les organisations syndicales « d’un autre niveau » visent en particulier les sections syndicales qui sont de simples émanations des syndicats et ne disposent pas de la personnalité civile. Quant aux syndicats professionnels de territoire ayant déposé leurs statuts, ceux-ci se voient dotés de la personnalité civile et leurs représentants syndicaux bénéficient en conséquence pour participer à leurs congrès ou leurs réunions statutaires d’autorisations d’absence au titre de l’article 16.</w:t>
      </w:r>
    </w:p>
    <w:p w:rsidR="005878DA" w:rsidRDefault="005878DA" w:rsidP="005878DA">
      <w:pPr>
        <w:overflowPunct w:val="0"/>
        <w:autoSpaceDE w:val="0"/>
        <w:autoSpaceDN w:val="0"/>
        <w:adjustRightInd w:val="0"/>
        <w:spacing w:before="120" w:after="120" w:line="240" w:lineRule="auto"/>
        <w:ind w:left="-284" w:firstLine="1134"/>
        <w:jc w:val="both"/>
        <w:textAlignment w:val="baseline"/>
      </w:pPr>
      <w:r>
        <w:t xml:space="preserve">De ce fait, d’un point de vue réglementaire, les représentants syndicaux devraient solliciter depuis janvier 2015 : </w:t>
      </w:r>
    </w:p>
    <w:tbl>
      <w:tblPr>
        <w:tblStyle w:val="Grilledutableau"/>
        <w:tblW w:w="0" w:type="auto"/>
        <w:tblInd w:w="-284" w:type="dxa"/>
        <w:tblLook w:val="04A0" w:firstRow="1" w:lastRow="0" w:firstColumn="1" w:lastColumn="0" w:noHBand="0" w:noVBand="1"/>
      </w:tblPr>
      <w:tblGrid>
        <w:gridCol w:w="5616"/>
        <w:gridCol w:w="3956"/>
      </w:tblGrid>
      <w:tr w:rsidR="005878DA" w:rsidTr="00BB0287">
        <w:tc>
          <w:tcPr>
            <w:tcW w:w="5637" w:type="dxa"/>
            <w:vAlign w:val="center"/>
          </w:tcPr>
          <w:p w:rsidR="005878DA" w:rsidRPr="004C09C1" w:rsidRDefault="005878DA" w:rsidP="00BB0287">
            <w:pPr>
              <w:overflowPunct w:val="0"/>
              <w:autoSpaceDE w:val="0"/>
              <w:autoSpaceDN w:val="0"/>
              <w:adjustRightInd w:val="0"/>
              <w:spacing w:before="120" w:after="120"/>
              <w:jc w:val="center"/>
              <w:textAlignment w:val="baseline"/>
              <w:rPr>
                <w:b/>
              </w:rPr>
            </w:pPr>
            <w:r w:rsidRPr="004C09C1">
              <w:rPr>
                <w:b/>
              </w:rPr>
              <w:t>Pour siéger dans les instances suivantes</w:t>
            </w:r>
          </w:p>
        </w:tc>
        <w:tc>
          <w:tcPr>
            <w:tcW w:w="3969" w:type="dxa"/>
            <w:vAlign w:val="center"/>
          </w:tcPr>
          <w:p w:rsidR="005878DA" w:rsidRPr="004C09C1" w:rsidRDefault="005878DA" w:rsidP="00BB0287">
            <w:pPr>
              <w:overflowPunct w:val="0"/>
              <w:autoSpaceDE w:val="0"/>
              <w:autoSpaceDN w:val="0"/>
              <w:adjustRightInd w:val="0"/>
              <w:spacing w:before="120" w:after="120"/>
              <w:jc w:val="center"/>
              <w:textAlignment w:val="baseline"/>
              <w:rPr>
                <w:b/>
              </w:rPr>
            </w:pPr>
            <w:r w:rsidRPr="004C09C1">
              <w:rPr>
                <w:b/>
              </w:rPr>
              <w:t>Des autorisations d’absences au titre des articles du décret n° 85-397</w:t>
            </w:r>
          </w:p>
        </w:tc>
      </w:tr>
      <w:tr w:rsidR="005878DA" w:rsidTr="00BB0287">
        <w:tc>
          <w:tcPr>
            <w:tcW w:w="5637" w:type="dxa"/>
          </w:tcPr>
          <w:p w:rsidR="005878DA" w:rsidRDefault="005878DA" w:rsidP="005878DA">
            <w:pPr>
              <w:overflowPunct w:val="0"/>
              <w:autoSpaceDE w:val="0"/>
              <w:autoSpaceDN w:val="0"/>
              <w:adjustRightInd w:val="0"/>
              <w:spacing w:before="120" w:after="120"/>
              <w:jc w:val="both"/>
              <w:textAlignment w:val="baseline"/>
            </w:pPr>
            <w:r>
              <w:t>Instance</w:t>
            </w:r>
            <w:r>
              <w:t>s</w:t>
            </w:r>
            <w:r>
              <w:t xml:space="preserve"> départementale</w:t>
            </w:r>
            <w:r>
              <w:t>s</w:t>
            </w:r>
            <w:r>
              <w:t xml:space="preserve"> et syndicats locaux ayant déposé leurs statuts et disposant de la personnalité civile</w:t>
            </w:r>
          </w:p>
        </w:tc>
        <w:tc>
          <w:tcPr>
            <w:tcW w:w="3969" w:type="dxa"/>
          </w:tcPr>
          <w:p w:rsidR="005878DA" w:rsidRDefault="005878DA" w:rsidP="005878DA">
            <w:pPr>
              <w:overflowPunct w:val="0"/>
              <w:autoSpaceDE w:val="0"/>
              <w:autoSpaceDN w:val="0"/>
              <w:adjustRightInd w:val="0"/>
              <w:spacing w:before="120" w:after="120"/>
              <w:jc w:val="both"/>
              <w:textAlignment w:val="baseline"/>
            </w:pPr>
            <w:r>
              <w:t xml:space="preserve">Article 16 </w:t>
            </w:r>
            <w:r>
              <w:t>dans la limite</w:t>
            </w:r>
            <w:r>
              <w:t xml:space="preserve"> de</w:t>
            </w:r>
            <w:r>
              <w:t> :</w:t>
            </w:r>
          </w:p>
          <w:p w:rsidR="005878DA" w:rsidRDefault="005878DA" w:rsidP="005878DA">
            <w:pPr>
              <w:pStyle w:val="Paragraphedeliste"/>
              <w:numPr>
                <w:ilvl w:val="0"/>
                <w:numId w:val="1"/>
              </w:numPr>
              <w:overflowPunct w:val="0"/>
              <w:autoSpaceDE w:val="0"/>
              <w:autoSpaceDN w:val="0"/>
              <w:adjustRightInd w:val="0"/>
              <w:spacing w:before="120" w:after="120"/>
              <w:ind w:left="339"/>
              <w:jc w:val="both"/>
              <w:textAlignment w:val="baseline"/>
            </w:pPr>
            <w:r w:rsidRPr="005878DA">
              <w:t>10</w:t>
            </w:r>
            <w:r w:rsidRPr="005878DA">
              <w:t xml:space="preserve"> jours </w:t>
            </w:r>
            <w:r w:rsidRPr="005878DA">
              <w:t>si</w:t>
            </w:r>
            <w:r w:rsidRPr="005878DA">
              <w:t xml:space="preserve"> </w:t>
            </w:r>
            <w:r w:rsidRPr="005878DA">
              <w:t xml:space="preserve">non </w:t>
            </w:r>
            <w:r w:rsidRPr="005878DA">
              <w:t>représentées au CCFP</w:t>
            </w:r>
          </w:p>
          <w:p w:rsidR="005878DA" w:rsidRPr="005878DA" w:rsidRDefault="005878DA" w:rsidP="005878DA">
            <w:pPr>
              <w:pStyle w:val="Paragraphedeliste"/>
              <w:numPr>
                <w:ilvl w:val="0"/>
                <w:numId w:val="1"/>
              </w:numPr>
              <w:overflowPunct w:val="0"/>
              <w:autoSpaceDE w:val="0"/>
              <w:autoSpaceDN w:val="0"/>
              <w:adjustRightInd w:val="0"/>
              <w:spacing w:before="120" w:after="120"/>
              <w:ind w:left="339"/>
              <w:jc w:val="both"/>
              <w:textAlignment w:val="baseline"/>
            </w:pPr>
            <w:r>
              <w:t>Portée à 20 jours si représentées au CCFP</w:t>
            </w:r>
          </w:p>
        </w:tc>
      </w:tr>
      <w:tr w:rsidR="005878DA" w:rsidTr="00BB0287">
        <w:tc>
          <w:tcPr>
            <w:tcW w:w="5637" w:type="dxa"/>
          </w:tcPr>
          <w:p w:rsidR="005878DA" w:rsidRDefault="005878DA" w:rsidP="005878DA">
            <w:pPr>
              <w:overflowPunct w:val="0"/>
              <w:autoSpaceDE w:val="0"/>
              <w:autoSpaceDN w:val="0"/>
              <w:adjustRightInd w:val="0"/>
              <w:spacing w:before="120" w:after="120"/>
              <w:jc w:val="both"/>
              <w:textAlignment w:val="baseline"/>
            </w:pPr>
            <w:r>
              <w:t xml:space="preserve">Sections locales </w:t>
            </w:r>
            <w:r>
              <w:t>ne disposant pas de la personnalité civile</w:t>
            </w:r>
          </w:p>
        </w:tc>
        <w:tc>
          <w:tcPr>
            <w:tcW w:w="3969" w:type="dxa"/>
          </w:tcPr>
          <w:p w:rsidR="005878DA" w:rsidRDefault="005878DA" w:rsidP="00BB0287">
            <w:pPr>
              <w:overflowPunct w:val="0"/>
              <w:autoSpaceDE w:val="0"/>
              <w:autoSpaceDN w:val="0"/>
              <w:adjustRightInd w:val="0"/>
              <w:spacing w:before="120" w:after="120"/>
              <w:jc w:val="both"/>
              <w:textAlignment w:val="baseline"/>
            </w:pPr>
            <w:r>
              <w:t>Articles 14 et 17 sur la part du crédit local allouée à leur OS suite aux élections professionnelles</w:t>
            </w:r>
          </w:p>
        </w:tc>
      </w:tr>
    </w:tbl>
    <w:p w:rsidR="005878DA" w:rsidRDefault="005878DA" w:rsidP="005878DA">
      <w:pPr>
        <w:overflowPunct w:val="0"/>
        <w:autoSpaceDE w:val="0"/>
        <w:autoSpaceDN w:val="0"/>
        <w:adjustRightInd w:val="0"/>
        <w:spacing w:before="120" w:after="0" w:line="240" w:lineRule="auto"/>
        <w:ind w:left="-284" w:firstLine="1134"/>
        <w:jc w:val="both"/>
        <w:textAlignment w:val="baseline"/>
      </w:pPr>
      <w:r>
        <w:t>Un représentant appelé à siéger dans une section locale et membre d’une instance départementale ou d’un niveau plus élevé pourrait donc se voir octroyer des autorisations d’absence au titre des articles 14 et 17, d’une part, et de l’article 16 d’autre part.</w:t>
      </w:r>
    </w:p>
    <w:p w:rsidR="005D3EF5" w:rsidRDefault="005D3EF5"/>
    <w:sectPr w:rsidR="005D3E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C9" w:rsidRDefault="00621BC9" w:rsidP="00621BC9">
      <w:pPr>
        <w:spacing w:after="0" w:line="240" w:lineRule="auto"/>
      </w:pPr>
      <w:r>
        <w:separator/>
      </w:r>
    </w:p>
  </w:endnote>
  <w:endnote w:type="continuationSeparator" w:id="0">
    <w:p w:rsidR="00621BC9" w:rsidRDefault="00621BC9" w:rsidP="0062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C9" w:rsidRDefault="00621BC9">
    <w:pPr>
      <w:pStyle w:val="Pieddepage"/>
    </w:pPr>
    <w:r>
      <w:rPr>
        <w:noProof/>
      </w:rPr>
      <w:drawing>
        <wp:anchor distT="0" distB="0" distL="114300" distR="114300" simplePos="0" relativeHeight="251659264" behindDoc="1" locked="0" layoutInCell="1" allowOverlap="1" wp14:anchorId="10A0C572" wp14:editId="02C37039">
          <wp:simplePos x="0" y="0"/>
          <wp:positionH relativeFrom="page">
            <wp:posOffset>0</wp:posOffset>
          </wp:positionH>
          <wp:positionV relativeFrom="page">
            <wp:posOffset>9799019</wp:posOffset>
          </wp:positionV>
          <wp:extent cx="7595870" cy="903605"/>
          <wp:effectExtent l="0" t="0" r="5080" b="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C9" w:rsidRDefault="00621BC9" w:rsidP="00621BC9">
      <w:pPr>
        <w:spacing w:after="0" w:line="240" w:lineRule="auto"/>
      </w:pPr>
      <w:r>
        <w:separator/>
      </w:r>
    </w:p>
  </w:footnote>
  <w:footnote w:type="continuationSeparator" w:id="0">
    <w:p w:rsidR="00621BC9" w:rsidRDefault="00621BC9" w:rsidP="00621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345E4"/>
    <w:multiLevelType w:val="hybridMultilevel"/>
    <w:tmpl w:val="6A7E0344"/>
    <w:lvl w:ilvl="0" w:tplc="C2C22CC8">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DA"/>
    <w:rsid w:val="005878DA"/>
    <w:rsid w:val="005D3EF5"/>
    <w:rsid w:val="00621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DA"/>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78DA"/>
    <w:pPr>
      <w:ind w:left="720"/>
      <w:contextualSpacing/>
    </w:pPr>
  </w:style>
  <w:style w:type="table" w:styleId="Grilledutableau">
    <w:name w:val="Table Grid"/>
    <w:basedOn w:val="TableauNormal"/>
    <w:uiPriority w:val="59"/>
    <w:rsid w:val="005878DA"/>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1BC9"/>
    <w:pPr>
      <w:tabs>
        <w:tab w:val="center" w:pos="4536"/>
        <w:tab w:val="right" w:pos="9072"/>
      </w:tabs>
      <w:spacing w:after="0" w:line="240" w:lineRule="auto"/>
    </w:pPr>
  </w:style>
  <w:style w:type="character" w:customStyle="1" w:styleId="En-tteCar">
    <w:name w:val="En-tête Car"/>
    <w:basedOn w:val="Policepardfaut"/>
    <w:link w:val="En-tte"/>
    <w:uiPriority w:val="99"/>
    <w:rsid w:val="00621BC9"/>
    <w:rPr>
      <w:rFonts w:ascii="Calibri" w:eastAsia="Times New Roman" w:hAnsi="Calibri" w:cs="Times New Roman"/>
      <w:lang w:eastAsia="fr-FR"/>
    </w:rPr>
  </w:style>
  <w:style w:type="paragraph" w:styleId="Pieddepage">
    <w:name w:val="footer"/>
    <w:basedOn w:val="Normal"/>
    <w:link w:val="PieddepageCar"/>
    <w:uiPriority w:val="99"/>
    <w:unhideWhenUsed/>
    <w:rsid w:val="00621B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BC9"/>
    <w:rPr>
      <w:rFonts w:ascii="Calibri" w:eastAsia="Times New Roman" w:hAnsi="Calibri"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DA"/>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78DA"/>
    <w:pPr>
      <w:ind w:left="720"/>
      <w:contextualSpacing/>
    </w:pPr>
  </w:style>
  <w:style w:type="table" w:styleId="Grilledutableau">
    <w:name w:val="Table Grid"/>
    <w:basedOn w:val="TableauNormal"/>
    <w:uiPriority w:val="59"/>
    <w:rsid w:val="005878DA"/>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1BC9"/>
    <w:pPr>
      <w:tabs>
        <w:tab w:val="center" w:pos="4536"/>
        <w:tab w:val="right" w:pos="9072"/>
      </w:tabs>
      <w:spacing w:after="0" w:line="240" w:lineRule="auto"/>
    </w:pPr>
  </w:style>
  <w:style w:type="character" w:customStyle="1" w:styleId="En-tteCar">
    <w:name w:val="En-tête Car"/>
    <w:basedOn w:val="Policepardfaut"/>
    <w:link w:val="En-tte"/>
    <w:uiPriority w:val="99"/>
    <w:rsid w:val="00621BC9"/>
    <w:rPr>
      <w:rFonts w:ascii="Calibri" w:eastAsia="Times New Roman" w:hAnsi="Calibri" w:cs="Times New Roman"/>
      <w:lang w:eastAsia="fr-FR"/>
    </w:rPr>
  </w:style>
  <w:style w:type="paragraph" w:styleId="Pieddepage">
    <w:name w:val="footer"/>
    <w:basedOn w:val="Normal"/>
    <w:link w:val="PieddepageCar"/>
    <w:uiPriority w:val="99"/>
    <w:unhideWhenUsed/>
    <w:rsid w:val="00621B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BC9"/>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887</Words>
  <Characters>4881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MASSE</dc:creator>
  <cp:lastModifiedBy>Odile MASSE</cp:lastModifiedBy>
  <cp:revision>1</cp:revision>
  <dcterms:created xsi:type="dcterms:W3CDTF">2019-06-20T07:38:00Z</dcterms:created>
  <dcterms:modified xsi:type="dcterms:W3CDTF">2019-06-20T07:51:00Z</dcterms:modified>
</cp:coreProperties>
</file>