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89" w:rsidRPr="00FF58BD" w:rsidRDefault="00E65411" w:rsidP="00160D3F">
      <w:pPr>
        <w:pStyle w:val="Sansinterligne"/>
        <w:tabs>
          <w:tab w:val="left" w:pos="5670"/>
        </w:tabs>
        <w:ind w:left="-284"/>
        <w:jc w:val="left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Annexe 2</w:t>
      </w:r>
    </w:p>
    <w:p w:rsidR="00563EA8" w:rsidRPr="009F58B0" w:rsidRDefault="00563EA8" w:rsidP="009F58B0">
      <w:pPr>
        <w:ind w:left="993"/>
        <w:jc w:val="center"/>
        <w:rPr>
          <w:rFonts w:ascii="Trebuchet MS" w:hAnsi="Trebuchet MS"/>
          <w:b/>
          <w:bCs/>
          <w:color w:val="FF0000"/>
        </w:rPr>
      </w:pPr>
      <w:r>
        <w:rPr>
          <w:rFonts w:ascii="Trebuchet MS" w:hAnsi="Trebuchet MS"/>
          <w:b/>
          <w:bCs/>
        </w:rPr>
        <w:t xml:space="preserve">Modèle de délibération </w:t>
      </w:r>
      <w:r w:rsidR="00FF3612">
        <w:rPr>
          <w:rFonts w:ascii="Trebuchet MS" w:hAnsi="Trebuchet MS"/>
          <w:b/>
          <w:bCs/>
        </w:rPr>
        <w:t xml:space="preserve">d’adhésion à la mission de médiation proposée par le CDG des Côtes d’Armor </w:t>
      </w:r>
    </w:p>
    <w:p w:rsidR="00A2071D" w:rsidRPr="00C70FC1" w:rsidRDefault="00A2071D" w:rsidP="00D74E89">
      <w:pPr>
        <w:pStyle w:val="Sansinterligne"/>
        <w:spacing w:line="276" w:lineRule="auto"/>
        <w:rPr>
          <w:rFonts w:ascii="Trebuchet MS" w:hAnsi="Trebuchet MS" w:cs="Tahoma"/>
          <w:b/>
        </w:rPr>
      </w:pPr>
    </w:p>
    <w:p w:rsidR="00D74E89" w:rsidRPr="00A70BB0" w:rsidRDefault="002C20B0" w:rsidP="00656BC9">
      <w:pPr>
        <w:pStyle w:val="Sansinterligne"/>
        <w:rPr>
          <w:rFonts w:ascii="Trebuchet MS" w:hAnsi="Trebuchet MS" w:cs="Tahoma"/>
          <w:b/>
          <w:sz w:val="20"/>
          <w:szCs w:val="20"/>
        </w:rPr>
      </w:pPr>
      <w:r w:rsidRPr="00A70BB0">
        <w:rPr>
          <w:rFonts w:ascii="Trebuchet MS" w:hAnsi="Trebuchet MS" w:cs="Tahoma"/>
          <w:b/>
          <w:sz w:val="20"/>
          <w:szCs w:val="20"/>
        </w:rPr>
        <w:t xml:space="preserve">Délibération n° … - </w:t>
      </w:r>
      <w:r w:rsidR="008C61AD">
        <w:rPr>
          <w:rFonts w:ascii="Trebuchet MS" w:hAnsi="Trebuchet MS" w:cs="Tahoma"/>
          <w:b/>
          <w:sz w:val="20"/>
          <w:szCs w:val="20"/>
        </w:rPr>
        <w:t>Adhésion à la procédure</w:t>
      </w:r>
      <w:r w:rsidRPr="00A70BB0">
        <w:rPr>
          <w:rFonts w:ascii="Trebuchet MS" w:hAnsi="Trebuchet MS" w:cs="Tahoma"/>
          <w:b/>
          <w:sz w:val="20"/>
          <w:szCs w:val="20"/>
        </w:rPr>
        <w:t xml:space="preserve"> de médiation dans</w:t>
      </w:r>
      <w:r w:rsidR="00F643D6">
        <w:rPr>
          <w:rFonts w:ascii="Trebuchet MS" w:hAnsi="Trebuchet MS" w:cs="Tahoma"/>
          <w:b/>
          <w:sz w:val="20"/>
          <w:szCs w:val="20"/>
        </w:rPr>
        <w:t xml:space="preserve"> </w:t>
      </w:r>
      <w:r w:rsidR="00F643D6" w:rsidRPr="00362DFA">
        <w:rPr>
          <w:rFonts w:ascii="Trebuchet MS" w:hAnsi="Trebuchet MS" w:cs="Tahoma"/>
          <w:b/>
          <w:sz w:val="20"/>
          <w:szCs w:val="20"/>
        </w:rPr>
        <w:t>le cadre de</w:t>
      </w:r>
      <w:r w:rsidRPr="00362DFA">
        <w:rPr>
          <w:rFonts w:ascii="Trebuchet MS" w:hAnsi="Trebuchet MS" w:cs="Tahoma"/>
          <w:b/>
          <w:sz w:val="20"/>
          <w:szCs w:val="20"/>
        </w:rPr>
        <w:t xml:space="preserve"> </w:t>
      </w:r>
      <w:r w:rsidRPr="00A70BB0">
        <w:rPr>
          <w:rFonts w:ascii="Trebuchet MS" w:hAnsi="Trebuchet MS" w:cs="Tahoma"/>
          <w:b/>
          <w:sz w:val="20"/>
          <w:szCs w:val="20"/>
        </w:rPr>
        <w:t>certains litiges de la fonction pub</w:t>
      </w:r>
      <w:r w:rsidR="00642E0A" w:rsidRPr="00A70BB0">
        <w:rPr>
          <w:rFonts w:ascii="Trebuchet MS" w:hAnsi="Trebuchet MS" w:cs="Tahoma"/>
          <w:b/>
          <w:sz w:val="20"/>
          <w:szCs w:val="20"/>
        </w:rPr>
        <w:t xml:space="preserve">lique mise en œuvre par le </w:t>
      </w:r>
      <w:r w:rsidR="00691CED" w:rsidRPr="00A70BB0">
        <w:rPr>
          <w:rFonts w:ascii="Trebuchet MS" w:hAnsi="Trebuchet MS" w:cs="Tahoma"/>
          <w:b/>
          <w:sz w:val="20"/>
          <w:szCs w:val="20"/>
        </w:rPr>
        <w:t xml:space="preserve">Centre de gestion </w:t>
      </w:r>
      <w:r w:rsidR="00FF3612">
        <w:rPr>
          <w:rFonts w:ascii="Trebuchet MS" w:hAnsi="Trebuchet MS" w:cs="Tahoma"/>
          <w:b/>
          <w:sz w:val="20"/>
          <w:szCs w:val="20"/>
        </w:rPr>
        <w:t>des Côtes d’Armor</w:t>
      </w:r>
    </w:p>
    <w:p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Madame/Monsieur le 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M</w:t>
      </w:r>
      <w:r w:rsidRPr="00A70BB0">
        <w:rPr>
          <w:rFonts w:ascii="Trebuchet MS" w:hAnsi="Trebuchet MS" w:cs="Tahoma"/>
          <w:kern w:val="28"/>
          <w:sz w:val="20"/>
          <w:szCs w:val="20"/>
        </w:rPr>
        <w:t>aire/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P</w:t>
      </w:r>
      <w:r w:rsidRPr="00A70BB0">
        <w:rPr>
          <w:rFonts w:ascii="Trebuchet MS" w:hAnsi="Trebuchet MS" w:cs="Tahoma"/>
          <w:kern w:val="28"/>
          <w:sz w:val="20"/>
          <w:szCs w:val="20"/>
        </w:rPr>
        <w:t>résident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(e)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 expose</w:t>
      </w:r>
      <w:r w:rsidR="00322133" w:rsidRPr="00A70BB0">
        <w:rPr>
          <w:rFonts w:ascii="Trebuchet MS" w:hAnsi="Trebuchet MS" w:cs="Tahoma"/>
          <w:kern w:val="28"/>
          <w:sz w:val="20"/>
          <w:szCs w:val="20"/>
        </w:rPr>
        <w:t xml:space="preserve"> ce qui suit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 : </w:t>
      </w:r>
    </w:p>
    <w:p w:rsidR="002C20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:rsidR="00FF3612" w:rsidRDefault="00FF3612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15225" w:rsidRPr="00362DFA" w:rsidRDefault="00915225" w:rsidP="00915225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bookmarkStart w:id="0" w:name="_Hlk117783142"/>
      <w:r w:rsidRPr="00362DFA">
        <w:rPr>
          <w:rFonts w:cs="Tahoma"/>
          <w:szCs w:val="20"/>
        </w:rPr>
        <w:t xml:space="preserve">La loi n° 2021-1729 du 22 décembre 2021 pour la confiance dans l’institution judiciaire a légitimé les Centres de gestion pour </w:t>
      </w:r>
      <w:r w:rsidR="00700BC7" w:rsidRPr="00362DFA">
        <w:rPr>
          <w:rFonts w:cs="Tahoma"/>
          <w:szCs w:val="20"/>
        </w:rPr>
        <w:t>assumer</w:t>
      </w:r>
      <w:r w:rsidRPr="00362DFA">
        <w:rPr>
          <w:rFonts w:cs="Tahoma"/>
          <w:szCs w:val="20"/>
        </w:rPr>
        <w:t xml:space="preserve"> </w:t>
      </w:r>
      <w:r w:rsidR="00700BC7" w:rsidRPr="00362DFA">
        <w:rPr>
          <w:rFonts w:cs="Tahoma"/>
          <w:szCs w:val="20"/>
        </w:rPr>
        <w:t>le rôle de médiateur au sein de la fonction publique territoriale.</w:t>
      </w:r>
      <w:r w:rsidRPr="00362DFA">
        <w:rPr>
          <w:rFonts w:cs="Tahoma"/>
          <w:szCs w:val="20"/>
        </w:rPr>
        <w:t xml:space="preserve"> </w:t>
      </w:r>
      <w:r w:rsidR="00700BC7" w:rsidRPr="00362DFA">
        <w:rPr>
          <w:rFonts w:cs="Tahoma"/>
          <w:szCs w:val="20"/>
        </w:rPr>
        <w:t>Elle insère</w:t>
      </w:r>
      <w:r w:rsidRPr="00362DFA">
        <w:rPr>
          <w:rFonts w:cs="Tahoma"/>
          <w:szCs w:val="20"/>
        </w:rPr>
        <w:t xml:space="preserve"> un nouvel article (article 25-2) dans la loi n° 84-53 du 26 janvier 1984</w:t>
      </w:r>
      <w:r w:rsidR="00700BC7" w:rsidRPr="00362DFA">
        <w:rPr>
          <w:rFonts w:cs="Tahoma"/>
          <w:szCs w:val="20"/>
        </w:rPr>
        <w:t xml:space="preserve"> qui oblige </w:t>
      </w:r>
      <w:r w:rsidRPr="00362DFA">
        <w:rPr>
          <w:rFonts w:cs="Tahoma"/>
          <w:szCs w:val="20"/>
        </w:rPr>
        <w:t xml:space="preserve">les Centres de gestion à </w:t>
      </w:r>
      <w:r w:rsidR="00F5290A" w:rsidRPr="00362DFA">
        <w:rPr>
          <w:rFonts w:cs="Tahoma"/>
          <w:szCs w:val="20"/>
        </w:rPr>
        <w:t>assurer</w:t>
      </w:r>
      <w:r w:rsidRPr="00362DFA">
        <w:rPr>
          <w:rFonts w:cs="Tahoma"/>
          <w:szCs w:val="20"/>
        </w:rPr>
        <w:t xml:space="preserve"> par convention, </w:t>
      </w:r>
      <w:r w:rsidR="00F5290A" w:rsidRPr="00362DFA">
        <w:rPr>
          <w:rFonts w:cs="Tahoma"/>
          <w:szCs w:val="20"/>
        </w:rPr>
        <w:t>à la demande des</w:t>
      </w:r>
      <w:r w:rsidR="008C623E" w:rsidRPr="00362DFA">
        <w:rPr>
          <w:rFonts w:cs="Tahoma"/>
          <w:szCs w:val="20"/>
        </w:rPr>
        <w:t xml:space="preserve"> </w:t>
      </w:r>
      <w:r w:rsidR="00F5290A" w:rsidRPr="00362DFA">
        <w:rPr>
          <w:rFonts w:cs="Tahoma"/>
          <w:szCs w:val="20"/>
        </w:rPr>
        <w:t xml:space="preserve">collectivités territoriales et de leurs établissements publics, </w:t>
      </w:r>
      <w:r w:rsidRPr="00362DFA">
        <w:rPr>
          <w:rFonts w:cs="Tahoma"/>
          <w:szCs w:val="20"/>
        </w:rPr>
        <w:t>une mission de médiation préalable obligatoire prévue à l’article L. 213-11 du code de justice administrative</w:t>
      </w:r>
      <w:bookmarkStart w:id="1" w:name="_Hlk117783079"/>
      <w:r w:rsidRPr="00362DFA">
        <w:rPr>
          <w:rFonts w:cs="Tahoma"/>
          <w:szCs w:val="20"/>
        </w:rPr>
        <w:t>. Elle permet également aux Centres de gestion d’assurer</w:t>
      </w:r>
      <w:r w:rsidR="00D81EA3" w:rsidRPr="00362DFA">
        <w:rPr>
          <w:rFonts w:cs="Tahoma"/>
          <w:szCs w:val="20"/>
        </w:rPr>
        <w:t>, dans les domaines relevant de leur compétence et à la demande des collectivités</w:t>
      </w:r>
      <w:r w:rsidRPr="00362DFA">
        <w:rPr>
          <w:rFonts w:cs="Tahoma"/>
          <w:szCs w:val="20"/>
        </w:rPr>
        <w:t xml:space="preserve"> une mission de médiation à l’initiative du juge ou à l’initiative des parties prévue aux articles L. 213-5 et 213-10 du même code, à l'exclusion des avis ou décisions des instances paritaires, médicales, de jurys ou de toute autre instance collégiale administrative obligatoirement saisie ayant vocation à adopter des avis ou des décisions</w:t>
      </w:r>
      <w:bookmarkEnd w:id="0"/>
      <w:r w:rsidRPr="00362DFA">
        <w:rPr>
          <w:rFonts w:cs="Tahoma"/>
          <w:szCs w:val="20"/>
        </w:rPr>
        <w:t>.</w:t>
      </w:r>
    </w:p>
    <w:bookmarkEnd w:id="1"/>
    <w:p w:rsidR="00745C01" w:rsidRPr="00362DFA" w:rsidRDefault="00915225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>S’agissant de la médiation préalable obligatoire, l</w:t>
      </w:r>
      <w:r w:rsidR="00F9741A" w:rsidRPr="00362DFA">
        <w:rPr>
          <w:rFonts w:cs="Tahoma"/>
          <w:szCs w:val="20"/>
        </w:rPr>
        <w:t xml:space="preserve">e décret n°2022-433 du 25 mars 2022 </w:t>
      </w:r>
      <w:r w:rsidR="00C122E1" w:rsidRPr="00362DFA">
        <w:rPr>
          <w:rFonts w:cs="Tahoma"/>
          <w:szCs w:val="20"/>
        </w:rPr>
        <w:t>introduit une</w:t>
      </w:r>
      <w:r w:rsidR="00F9741A" w:rsidRPr="00362DFA">
        <w:rPr>
          <w:rFonts w:cs="Tahoma"/>
          <w:szCs w:val="20"/>
        </w:rPr>
        <w:t xml:space="preserve"> </w:t>
      </w:r>
      <w:r w:rsidR="009D6497" w:rsidRPr="00362DFA">
        <w:rPr>
          <w:rFonts w:cs="Tahoma"/>
          <w:szCs w:val="20"/>
        </w:rPr>
        <w:t xml:space="preserve">nouvelle </w:t>
      </w:r>
      <w:r w:rsidR="00F9741A" w:rsidRPr="00362DFA">
        <w:rPr>
          <w:rFonts w:cs="Tahoma"/>
          <w:szCs w:val="20"/>
        </w:rPr>
        <w:t xml:space="preserve">section </w:t>
      </w:r>
      <w:r w:rsidR="00C122E1" w:rsidRPr="00362DFA">
        <w:rPr>
          <w:rFonts w:cs="Tahoma"/>
          <w:szCs w:val="20"/>
        </w:rPr>
        <w:t>dans le</w:t>
      </w:r>
      <w:r w:rsidR="0067230A" w:rsidRPr="00362DFA">
        <w:rPr>
          <w:rFonts w:cs="Tahoma"/>
          <w:szCs w:val="20"/>
        </w:rPr>
        <w:t xml:space="preserve"> </w:t>
      </w:r>
      <w:r w:rsidR="00297C9E" w:rsidRPr="00362DFA">
        <w:rPr>
          <w:rFonts w:cs="Tahoma"/>
          <w:szCs w:val="20"/>
        </w:rPr>
        <w:t xml:space="preserve">chapitre III du titre Ier du livre II du </w:t>
      </w:r>
      <w:r w:rsidR="0067230A" w:rsidRPr="00362DFA">
        <w:rPr>
          <w:rFonts w:cs="Tahoma"/>
          <w:szCs w:val="20"/>
        </w:rPr>
        <w:t>Code de justice administrative</w:t>
      </w:r>
      <w:r w:rsidR="009D6497" w:rsidRPr="00362DFA">
        <w:rPr>
          <w:rFonts w:cs="Tahoma"/>
          <w:szCs w:val="20"/>
        </w:rPr>
        <w:t>,</w:t>
      </w:r>
      <w:r w:rsidR="0067230A" w:rsidRPr="00362DFA">
        <w:rPr>
          <w:rFonts w:cs="Tahoma"/>
          <w:szCs w:val="20"/>
        </w:rPr>
        <w:t xml:space="preserve"> </w:t>
      </w:r>
      <w:r w:rsidR="00F9741A" w:rsidRPr="00362DFA">
        <w:rPr>
          <w:rFonts w:cs="Tahoma"/>
          <w:szCs w:val="20"/>
        </w:rPr>
        <w:t xml:space="preserve">afin </w:t>
      </w:r>
      <w:r w:rsidR="00745C01" w:rsidRPr="00362DFA">
        <w:rPr>
          <w:rFonts w:cs="Tahoma"/>
          <w:szCs w:val="20"/>
        </w:rPr>
        <w:t xml:space="preserve">que les recours formés </w:t>
      </w:r>
      <w:r w:rsidR="009D6497" w:rsidRPr="00362DFA">
        <w:rPr>
          <w:rFonts w:cs="Tahoma"/>
          <w:szCs w:val="20"/>
        </w:rPr>
        <w:t xml:space="preserve">par les agents publics </w:t>
      </w:r>
      <w:r w:rsidR="00745C01" w:rsidRPr="00362DFA">
        <w:rPr>
          <w:rFonts w:cs="Tahoma"/>
          <w:szCs w:val="20"/>
        </w:rPr>
        <w:t xml:space="preserve">contre les décisions individuelles défavorables listées </w:t>
      </w:r>
      <w:r w:rsidR="009D6497" w:rsidRPr="00362DFA">
        <w:rPr>
          <w:rFonts w:cs="Tahoma"/>
          <w:szCs w:val="20"/>
        </w:rPr>
        <w:t>à l’article 2 de</w:t>
      </w:r>
      <w:r w:rsidR="00745C01" w:rsidRPr="00362DFA">
        <w:rPr>
          <w:rFonts w:cs="Tahoma"/>
          <w:szCs w:val="20"/>
        </w:rPr>
        <w:t xml:space="preserve"> ce même décret</w:t>
      </w:r>
      <w:r w:rsidR="009D6497" w:rsidRPr="00362DFA">
        <w:rPr>
          <w:rFonts w:cs="Tahoma"/>
          <w:szCs w:val="20"/>
        </w:rPr>
        <w:t>,</w:t>
      </w:r>
      <w:r w:rsidR="00745C01" w:rsidRPr="00362DFA">
        <w:rPr>
          <w:rFonts w:cs="Tahoma"/>
          <w:szCs w:val="20"/>
        </w:rPr>
        <w:t xml:space="preserve"> soient précédés d’une tentative de médiation</w:t>
      </w:r>
      <w:r w:rsidR="009D6497" w:rsidRPr="00362DFA">
        <w:rPr>
          <w:rFonts w:cs="Tahoma"/>
          <w:szCs w:val="20"/>
        </w:rPr>
        <w:t>.</w:t>
      </w:r>
    </w:p>
    <w:p w:rsidR="00641A20" w:rsidRDefault="00641A20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C122E1" w:rsidRPr="00362DFA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641A20">
        <w:rPr>
          <w:rFonts w:cs="Tahoma"/>
          <w:b/>
          <w:szCs w:val="20"/>
        </w:rPr>
        <w:t>La médiation préalable obligatoire vise à parvenir à une solution amiable entre les parties, employeur</w:t>
      </w:r>
      <w:r w:rsidR="00125535" w:rsidRPr="00641A20">
        <w:rPr>
          <w:rFonts w:cs="Tahoma"/>
          <w:b/>
          <w:szCs w:val="20"/>
        </w:rPr>
        <w:t>s</w:t>
      </w:r>
      <w:r w:rsidRPr="00641A20">
        <w:rPr>
          <w:rFonts w:cs="Tahoma"/>
          <w:b/>
          <w:szCs w:val="20"/>
        </w:rPr>
        <w:t xml:space="preserve"> et agents, grâce à l’</w:t>
      </w:r>
      <w:r w:rsidR="00745C01" w:rsidRPr="00641A20">
        <w:rPr>
          <w:rFonts w:cs="Tahoma"/>
          <w:b/>
          <w:szCs w:val="20"/>
        </w:rPr>
        <w:t>intervention d’un tiers neutre</w:t>
      </w:r>
      <w:r w:rsidR="00125535" w:rsidRPr="00641A20">
        <w:rPr>
          <w:rFonts w:cs="Tahoma"/>
          <w:b/>
          <w:szCs w:val="20"/>
        </w:rPr>
        <w:t>, le médiateur</w:t>
      </w:r>
      <w:r w:rsidR="00745C01" w:rsidRPr="00641A20">
        <w:rPr>
          <w:rFonts w:cs="Tahoma"/>
          <w:b/>
          <w:szCs w:val="20"/>
        </w:rPr>
        <w:t xml:space="preserve">. </w:t>
      </w:r>
      <w:r w:rsidR="00125535" w:rsidRPr="00641A20">
        <w:rPr>
          <w:rFonts w:cs="Tahoma"/>
          <w:b/>
          <w:szCs w:val="20"/>
        </w:rPr>
        <w:t>Ce</w:t>
      </w:r>
      <w:r w:rsidRPr="00641A20">
        <w:rPr>
          <w:rFonts w:cs="Tahoma"/>
          <w:b/>
          <w:szCs w:val="20"/>
        </w:rPr>
        <w:t xml:space="preserve"> mode de résolution de</w:t>
      </w:r>
      <w:r w:rsidR="00125535" w:rsidRPr="00641A20">
        <w:rPr>
          <w:rFonts w:cs="Tahoma"/>
          <w:b/>
          <w:szCs w:val="20"/>
        </w:rPr>
        <w:t>s</w:t>
      </w:r>
      <w:r w:rsidRPr="00641A20">
        <w:rPr>
          <w:rFonts w:cs="Tahoma"/>
          <w:b/>
          <w:szCs w:val="20"/>
        </w:rPr>
        <w:t xml:space="preserve"> litiges </w:t>
      </w:r>
      <w:r w:rsidR="003533AE" w:rsidRPr="00641A20">
        <w:rPr>
          <w:rFonts w:cs="Tahoma"/>
          <w:b/>
          <w:szCs w:val="20"/>
        </w:rPr>
        <w:t xml:space="preserve">se veut </w:t>
      </w:r>
      <w:r w:rsidRPr="00641A20">
        <w:rPr>
          <w:rFonts w:cs="Tahoma"/>
          <w:b/>
          <w:szCs w:val="20"/>
        </w:rPr>
        <w:t>plus rapide et moins onéreux qu’une procédure contentieuse</w:t>
      </w:r>
      <w:r w:rsidRPr="00362DFA">
        <w:rPr>
          <w:rFonts w:cs="Tahoma"/>
          <w:szCs w:val="20"/>
        </w:rPr>
        <w:t>. 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691CED" w:rsidRPr="00362DFA" w:rsidRDefault="00691CED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 xml:space="preserve">Ainsi, en qualité de tiers de confiance, les Centres de Gestion peuvent intervenir </w:t>
      </w:r>
      <w:r w:rsidR="00C26BCF" w:rsidRPr="00362DFA">
        <w:rPr>
          <w:rFonts w:cs="Tahoma"/>
          <w:szCs w:val="20"/>
        </w:rPr>
        <w:t>en tant que</w:t>
      </w:r>
      <w:r w:rsidRPr="00362DFA">
        <w:rPr>
          <w:rFonts w:cs="Tahoma"/>
          <w:szCs w:val="20"/>
        </w:rPr>
        <w:t xml:space="preserve"> médiateurs dans les litiges opposant des agents publics à </w:t>
      </w:r>
      <w:r w:rsidR="00745C01" w:rsidRPr="00362DFA">
        <w:rPr>
          <w:rFonts w:cs="Tahoma"/>
          <w:szCs w:val="20"/>
        </w:rPr>
        <w:t xml:space="preserve">leur employeur. 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A2071D" w:rsidRPr="00362DFA" w:rsidRDefault="00481649" w:rsidP="00656BC9">
      <w:pPr>
        <w:spacing w:after="16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>La</w:t>
      </w:r>
      <w:r w:rsidR="00745C01" w:rsidRPr="00362DFA">
        <w:rPr>
          <w:rFonts w:cs="Tahoma"/>
          <w:szCs w:val="20"/>
        </w:rPr>
        <w:t xml:space="preserve"> procédure de M</w:t>
      </w:r>
      <w:r w:rsidR="00362DFA">
        <w:rPr>
          <w:rFonts w:cs="Tahoma"/>
          <w:szCs w:val="20"/>
        </w:rPr>
        <w:t xml:space="preserve">édiation </w:t>
      </w:r>
      <w:r w:rsidR="00745C01" w:rsidRPr="00362DFA">
        <w:rPr>
          <w:rFonts w:cs="Tahoma"/>
          <w:szCs w:val="20"/>
        </w:rPr>
        <w:t>P</w:t>
      </w:r>
      <w:r w:rsidR="00362DFA">
        <w:rPr>
          <w:rFonts w:cs="Tahoma"/>
          <w:szCs w:val="20"/>
        </w:rPr>
        <w:t xml:space="preserve">réalable </w:t>
      </w:r>
      <w:r w:rsidR="00745C01" w:rsidRPr="00362DFA">
        <w:rPr>
          <w:rFonts w:cs="Tahoma"/>
          <w:szCs w:val="20"/>
        </w:rPr>
        <w:t>O</w:t>
      </w:r>
      <w:r w:rsidR="00362DFA">
        <w:rPr>
          <w:rFonts w:cs="Tahoma"/>
          <w:szCs w:val="20"/>
        </w:rPr>
        <w:t>bligatoire</w:t>
      </w:r>
      <w:r w:rsidR="00745C01" w:rsidRPr="00362DFA">
        <w:rPr>
          <w:rFonts w:cs="Tahoma"/>
          <w:szCs w:val="20"/>
        </w:rPr>
        <w:t xml:space="preserve"> est applicable aux recours formés par les agents publics à l’encontre des décisions administratives suivantes :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 xml:space="preserve">1° Décisions administratives individuelles défavorables relatives à l'un des éléments de rémunération mentionnés </w:t>
      </w:r>
      <w:r w:rsidR="00745C01" w:rsidRPr="00362DFA">
        <w:rPr>
          <w:rFonts w:cs="Tahoma"/>
          <w:szCs w:val="20"/>
        </w:rPr>
        <w:t>à l’article L. 712-1 du Code Général de la fonction publique</w:t>
      </w:r>
      <w:r w:rsidRPr="00362DFA">
        <w:rPr>
          <w:rFonts w:cs="Tahoma"/>
          <w:szCs w:val="20"/>
        </w:rPr>
        <w:t xml:space="preserve"> 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br/>
        <w:t xml:space="preserve">2° Refus de détachement, </w:t>
      </w:r>
      <w:r w:rsidR="00745C01" w:rsidRPr="00362DFA">
        <w:rPr>
          <w:rFonts w:cs="Tahoma"/>
          <w:szCs w:val="20"/>
        </w:rPr>
        <w:t xml:space="preserve">ou </w:t>
      </w:r>
      <w:r w:rsidRPr="00362DFA">
        <w:rPr>
          <w:rFonts w:cs="Tahoma"/>
          <w:szCs w:val="20"/>
        </w:rPr>
        <w:t>de placement en disponibilité</w:t>
      </w:r>
      <w:r w:rsidR="00745C01" w:rsidRPr="00362DFA">
        <w:rPr>
          <w:rFonts w:cs="Tahoma"/>
          <w:szCs w:val="20"/>
        </w:rPr>
        <w:t xml:space="preserve"> et, pour les agents contractuels, refus de</w:t>
      </w:r>
      <w:r w:rsidRPr="00362DFA">
        <w:rPr>
          <w:rFonts w:cs="Tahoma"/>
          <w:szCs w:val="20"/>
        </w:rPr>
        <w:t xml:space="preserve"> congés non rémunérés prévus aux articles 15, 17, 18 et 35-2 du </w:t>
      </w:r>
      <w:hyperlink r:id="rId7" w:history="1">
        <w:r w:rsidRPr="00362DFA">
          <w:rPr>
            <w:rFonts w:cs="Tahoma"/>
          </w:rPr>
          <w:t xml:space="preserve">décret </w:t>
        </w:r>
        <w:r w:rsidR="00745C01" w:rsidRPr="00362DFA">
          <w:rPr>
            <w:rFonts w:cs="Tahoma"/>
          </w:rPr>
          <w:t xml:space="preserve">n°88-145 </w:t>
        </w:r>
        <w:r w:rsidRPr="00362DFA">
          <w:rPr>
            <w:rFonts w:cs="Tahoma"/>
          </w:rPr>
          <w:t xml:space="preserve">du 15 février 1988 </w:t>
        </w:r>
      </w:hyperlink>
      <w:r w:rsidRPr="00362DFA">
        <w:rPr>
          <w:rFonts w:cs="Tahoma"/>
          <w:szCs w:val="20"/>
        </w:rPr>
        <w:t>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br/>
        <w:t xml:space="preserve">3° Décisions administratives individuelles défavorables relatives à la réintégration à l'issue d'un détachement, d'un placement en disponibilité ou d'un congé parental ou relatives au réemploi d'un agent contractuel à l'issue d'un congé </w:t>
      </w:r>
      <w:r w:rsidR="00915225" w:rsidRPr="00362DFA">
        <w:rPr>
          <w:rFonts w:cs="Tahoma"/>
          <w:szCs w:val="20"/>
        </w:rPr>
        <w:t>sans traitement</w:t>
      </w:r>
      <w:r w:rsidRPr="00362DFA">
        <w:rPr>
          <w:rFonts w:cs="Tahoma"/>
          <w:szCs w:val="20"/>
        </w:rPr>
        <w:t xml:space="preserve"> 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bookmarkStart w:id="2" w:name="_GoBack"/>
      <w:bookmarkEnd w:id="2"/>
      <w:r w:rsidRPr="00362DFA">
        <w:rPr>
          <w:rFonts w:cs="Tahoma"/>
          <w:szCs w:val="20"/>
        </w:rPr>
        <w:br/>
        <w:t xml:space="preserve">4° Décisions administratives individuelles défavorables relatives au classement de l'agent à l'issue d'un avancement de grade ou d'un changement </w:t>
      </w:r>
      <w:r w:rsidR="00915225" w:rsidRPr="00362DFA">
        <w:rPr>
          <w:rFonts w:cs="Tahoma"/>
          <w:szCs w:val="20"/>
        </w:rPr>
        <w:t>de</w:t>
      </w:r>
      <w:r w:rsidR="00D03A84" w:rsidRPr="00362DFA">
        <w:rPr>
          <w:rFonts w:cs="Tahoma"/>
          <w:szCs w:val="20"/>
        </w:rPr>
        <w:t xml:space="preserve"> cadre d’emploi</w:t>
      </w:r>
      <w:r w:rsidR="00915225" w:rsidRPr="00362DFA">
        <w:rPr>
          <w:rFonts w:cs="Tahoma"/>
          <w:szCs w:val="20"/>
        </w:rPr>
        <w:t>s</w:t>
      </w:r>
      <w:r w:rsidRPr="00362DFA">
        <w:rPr>
          <w:rFonts w:cs="Tahoma"/>
          <w:szCs w:val="20"/>
        </w:rPr>
        <w:t xml:space="preserve"> obtenu par promotion interne 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lastRenderedPageBreak/>
        <w:br/>
        <w:t>5° Décisions administratives individuelles défavorables relatives à la formation professionnelle tout au long de la vie 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br/>
        <w:t xml:space="preserve">6° Décisions administratives individuelles défavorables relatives aux mesures appropriées prises par les employeurs publics à l'égard des travailleurs handicapés en application </w:t>
      </w:r>
      <w:r w:rsidR="00D03A84" w:rsidRPr="00362DFA">
        <w:rPr>
          <w:rFonts w:cs="Tahoma"/>
          <w:szCs w:val="20"/>
        </w:rPr>
        <w:t>des articles L. 131-8 et L.131-10 du Code Général de la fonction publique ;</w:t>
      </w:r>
    </w:p>
    <w:p w:rsidR="00A2071D" w:rsidRPr="00362DFA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br/>
        <w:t xml:space="preserve">7° Décisions administratives individuelles défavorables concernant l'aménagement des conditions de travail des fonctionnaires qui ne sont plus en mesure d'exercer leurs fonctions dans les conditions prévues par les décrets </w:t>
      </w:r>
      <w:r w:rsidR="00D03A84" w:rsidRPr="00362DFA">
        <w:rPr>
          <w:rFonts w:cs="Tahoma"/>
          <w:szCs w:val="20"/>
        </w:rPr>
        <w:t xml:space="preserve">n° 84-1051 </w:t>
      </w:r>
      <w:r w:rsidRPr="00362DFA">
        <w:rPr>
          <w:rFonts w:cs="Tahoma"/>
          <w:szCs w:val="20"/>
        </w:rPr>
        <w:t xml:space="preserve">du </w:t>
      </w:r>
      <w:hyperlink r:id="rId8" w:history="1">
        <w:r w:rsidRPr="00362DFA">
          <w:rPr>
            <w:rFonts w:cs="Tahoma"/>
          </w:rPr>
          <w:t>30 novembre 1984</w:t>
        </w:r>
      </w:hyperlink>
      <w:r w:rsidRPr="00362DFA">
        <w:rPr>
          <w:rFonts w:cs="Tahoma"/>
          <w:szCs w:val="20"/>
        </w:rPr>
        <w:t xml:space="preserve"> et </w:t>
      </w:r>
      <w:r w:rsidR="00D03A84" w:rsidRPr="00362DFA">
        <w:rPr>
          <w:rFonts w:cs="Tahoma"/>
          <w:szCs w:val="20"/>
        </w:rPr>
        <w:t>n°</w:t>
      </w:r>
      <w:r w:rsidR="003678BB" w:rsidRPr="00362DFA">
        <w:rPr>
          <w:rFonts w:cs="Tahoma"/>
          <w:szCs w:val="20"/>
        </w:rPr>
        <w:t xml:space="preserve">85-1054 </w:t>
      </w:r>
      <w:r w:rsidRPr="00362DFA">
        <w:rPr>
          <w:rFonts w:cs="Tahoma"/>
          <w:szCs w:val="20"/>
        </w:rPr>
        <w:t xml:space="preserve">du </w:t>
      </w:r>
      <w:hyperlink r:id="rId9" w:history="1">
        <w:r w:rsidRPr="00362DFA">
          <w:rPr>
            <w:rFonts w:cs="Tahoma"/>
          </w:rPr>
          <w:t>30 septembre 1985</w:t>
        </w:r>
      </w:hyperlink>
      <w:r w:rsidRPr="00362DFA">
        <w:rPr>
          <w:rFonts w:cs="Tahoma"/>
          <w:szCs w:val="20"/>
        </w:rPr>
        <w:t>.</w:t>
      </w:r>
    </w:p>
    <w:p w:rsidR="00BE1AB6" w:rsidRPr="00362DFA" w:rsidRDefault="00BE1AB6" w:rsidP="003678B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</w:p>
    <w:p w:rsidR="00D65440" w:rsidRPr="00641A20" w:rsidRDefault="00691CED" w:rsidP="003678B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trike/>
          <w:szCs w:val="20"/>
        </w:rPr>
      </w:pPr>
      <w:r w:rsidRPr="00641A20">
        <w:rPr>
          <w:rFonts w:cs="Tahoma"/>
          <w:b/>
          <w:szCs w:val="20"/>
        </w:rPr>
        <w:t>Le Centre de Gestion d</w:t>
      </w:r>
      <w:r w:rsidR="00915225" w:rsidRPr="00641A20">
        <w:rPr>
          <w:rFonts w:cs="Tahoma"/>
          <w:b/>
          <w:szCs w:val="20"/>
        </w:rPr>
        <w:t>es Côtes d’Armor</w:t>
      </w:r>
      <w:r w:rsidRPr="00641A20">
        <w:rPr>
          <w:rFonts w:cs="Tahoma"/>
          <w:b/>
          <w:szCs w:val="20"/>
        </w:rPr>
        <w:t xml:space="preserve"> </w:t>
      </w:r>
      <w:r w:rsidR="005215A6" w:rsidRPr="00641A20">
        <w:rPr>
          <w:rFonts w:cs="Tahoma"/>
          <w:b/>
          <w:szCs w:val="20"/>
        </w:rPr>
        <w:t xml:space="preserve">propose </w:t>
      </w:r>
      <w:r w:rsidR="00BE1AB6" w:rsidRPr="00641A20">
        <w:rPr>
          <w:rFonts w:cs="Tahoma"/>
          <w:b/>
          <w:szCs w:val="20"/>
        </w:rPr>
        <w:t xml:space="preserve">ainsi </w:t>
      </w:r>
      <w:r w:rsidR="005215A6" w:rsidRPr="00641A20">
        <w:rPr>
          <w:rFonts w:cs="Tahoma"/>
          <w:b/>
          <w:szCs w:val="20"/>
        </w:rPr>
        <w:t xml:space="preserve">aux collectivités et établissements publics qui </w:t>
      </w:r>
      <w:r w:rsidR="00811256" w:rsidRPr="00641A20">
        <w:rPr>
          <w:rFonts w:cs="Tahoma"/>
          <w:b/>
          <w:szCs w:val="20"/>
        </w:rPr>
        <w:t xml:space="preserve">le souhaitent d’adhérer </w:t>
      </w:r>
      <w:r w:rsidR="003678BB" w:rsidRPr="00641A20">
        <w:rPr>
          <w:rFonts w:cs="Tahoma"/>
          <w:b/>
          <w:szCs w:val="20"/>
        </w:rPr>
        <w:t>par voie de convention à la procédure de médiation préalable obligatoire</w:t>
      </w:r>
      <w:r w:rsidR="00362DFA" w:rsidRPr="00641A20">
        <w:rPr>
          <w:rFonts w:cs="Tahoma"/>
          <w:b/>
          <w:szCs w:val="20"/>
        </w:rPr>
        <w:t xml:space="preserve"> ainsi qu’à</w:t>
      </w:r>
      <w:r w:rsidR="00DE6337" w:rsidRPr="00641A20">
        <w:rPr>
          <w:rFonts w:cs="Tahoma"/>
          <w:b/>
          <w:szCs w:val="20"/>
        </w:rPr>
        <w:t xml:space="preserve"> la </w:t>
      </w:r>
      <w:r w:rsidR="00915225" w:rsidRPr="00641A20">
        <w:rPr>
          <w:rFonts w:cs="Tahoma"/>
          <w:b/>
          <w:szCs w:val="20"/>
        </w:rPr>
        <w:t>médiation à l’initiative du juge</w:t>
      </w:r>
      <w:r w:rsidR="00DE6337" w:rsidRPr="00641A20">
        <w:rPr>
          <w:rFonts w:cs="Tahoma"/>
          <w:b/>
          <w:szCs w:val="20"/>
        </w:rPr>
        <w:t xml:space="preserve"> et à la médiation </w:t>
      </w:r>
      <w:r w:rsidR="00915225" w:rsidRPr="00641A20">
        <w:rPr>
          <w:rFonts w:cs="Tahoma"/>
          <w:b/>
          <w:szCs w:val="20"/>
        </w:rPr>
        <w:t>conventionnelle</w:t>
      </w:r>
      <w:r w:rsidR="003678BB" w:rsidRPr="00641A20">
        <w:rPr>
          <w:rFonts w:cs="Tahoma"/>
          <w:b/>
          <w:szCs w:val="20"/>
        </w:rPr>
        <w:t xml:space="preserve">. </w:t>
      </w:r>
    </w:p>
    <w:p w:rsidR="005215A6" w:rsidRPr="00641A20" w:rsidRDefault="00865742" w:rsidP="00656BC9">
      <w:pPr>
        <w:pStyle w:val="Sansinterligne"/>
        <w:tabs>
          <w:tab w:val="left" w:pos="2628"/>
        </w:tabs>
        <w:rPr>
          <w:rFonts w:ascii="Trebuchet MS" w:hAnsi="Trebuchet MS" w:cs="Tahoma"/>
          <w:b/>
          <w:kern w:val="28"/>
          <w:sz w:val="20"/>
          <w:szCs w:val="20"/>
        </w:rPr>
      </w:pPr>
      <w:r w:rsidRPr="00641A20">
        <w:rPr>
          <w:rFonts w:ascii="Trebuchet MS" w:hAnsi="Trebuchet MS" w:cs="Tahoma"/>
          <w:b/>
          <w:kern w:val="28"/>
          <w:sz w:val="20"/>
          <w:szCs w:val="20"/>
        </w:rPr>
        <w:tab/>
      </w:r>
    </w:p>
    <w:p w:rsidR="00BE1AB6" w:rsidRPr="00641A20" w:rsidRDefault="00BE1AB6" w:rsidP="00656BC9">
      <w:pPr>
        <w:pStyle w:val="Sansinterligne"/>
        <w:tabs>
          <w:tab w:val="left" w:pos="2628"/>
        </w:tabs>
        <w:rPr>
          <w:rFonts w:ascii="Trebuchet MS" w:hAnsi="Trebuchet MS" w:cs="Tahoma"/>
          <w:b/>
          <w:kern w:val="28"/>
          <w:sz w:val="20"/>
          <w:szCs w:val="20"/>
        </w:rPr>
      </w:pPr>
    </w:p>
    <w:p w:rsidR="00C122E1" w:rsidRPr="00362DFA" w:rsidRDefault="00C122E1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20"/>
          <w:szCs w:val="20"/>
        </w:rPr>
      </w:pPr>
    </w:p>
    <w:p w:rsidR="005769E6" w:rsidRPr="00362DFA" w:rsidRDefault="00A2071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20"/>
          <w:szCs w:val="20"/>
        </w:rPr>
      </w:pPr>
      <w:r w:rsidRPr="00362DFA">
        <w:rPr>
          <w:rFonts w:ascii="Trebuchet MS" w:hAnsi="Trebuchet MS" w:cs="Tahoma"/>
          <w:b/>
          <w:kern w:val="28"/>
          <w:sz w:val="20"/>
          <w:szCs w:val="20"/>
        </w:rPr>
        <w:t>Madame/Monsieur le Maire/Président(e),</w:t>
      </w:r>
    </w:p>
    <w:p w:rsidR="001A727D" w:rsidRPr="00362DFA" w:rsidRDefault="001A727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:rsidR="00D65440" w:rsidRPr="00362DFA" w:rsidRDefault="001A727D" w:rsidP="00C122E1">
      <w:pPr>
        <w:pStyle w:val="Sansinterligne"/>
        <w:tabs>
          <w:tab w:val="left" w:leader="dot" w:pos="4962"/>
        </w:tabs>
        <w:rPr>
          <w:rFonts w:cs="Tahoma"/>
          <w:szCs w:val="20"/>
        </w:rPr>
      </w:pPr>
      <w:r w:rsidRPr="00362DFA">
        <w:rPr>
          <w:rFonts w:cs="Tahoma"/>
          <w:szCs w:val="20"/>
        </w:rPr>
        <w:t>Invite l’assemblée délibérante à se prononcer favorablement</w:t>
      </w:r>
      <w:r w:rsidR="0075534E" w:rsidRPr="00362DFA">
        <w:rPr>
          <w:rFonts w:cs="Tahoma"/>
          <w:szCs w:val="20"/>
        </w:rPr>
        <w:t xml:space="preserve"> sur l’adhésion de la collectivité/établissement </w:t>
      </w:r>
      <w:r w:rsidR="004F6AB7" w:rsidRPr="00362DFA">
        <w:rPr>
          <w:rFonts w:cs="Tahoma"/>
          <w:szCs w:val="20"/>
        </w:rPr>
        <w:t>à la procédure de</w:t>
      </w:r>
      <w:r w:rsidR="0075534E" w:rsidRPr="00362DFA">
        <w:rPr>
          <w:rFonts w:cs="Tahoma"/>
          <w:szCs w:val="20"/>
        </w:rPr>
        <w:t xml:space="preserve"> médiation</w:t>
      </w:r>
      <w:r w:rsidR="00DE6337" w:rsidRPr="00362DFA">
        <w:rPr>
          <w:rFonts w:cs="Tahoma"/>
          <w:szCs w:val="20"/>
        </w:rPr>
        <w:t xml:space="preserve"> (MPO, à l’initiative du juge et conventionnelle)</w:t>
      </w:r>
      <w:r w:rsidR="0075534E" w:rsidRPr="00362DFA">
        <w:rPr>
          <w:rFonts w:cs="Tahoma"/>
          <w:szCs w:val="20"/>
        </w:rPr>
        <w:t xml:space="preserve"> </w:t>
      </w:r>
      <w:r w:rsidR="004F6AB7" w:rsidRPr="00362DFA">
        <w:rPr>
          <w:rFonts w:cs="Tahoma"/>
          <w:szCs w:val="20"/>
        </w:rPr>
        <w:t>organisée par le Centre</w:t>
      </w:r>
      <w:r w:rsidR="00B158C3" w:rsidRPr="00362DFA">
        <w:rPr>
          <w:rFonts w:cs="Tahoma"/>
          <w:szCs w:val="20"/>
        </w:rPr>
        <w:t xml:space="preserve"> de Gestion</w:t>
      </w:r>
      <w:r w:rsidR="004F6AB7" w:rsidRPr="00362DFA">
        <w:rPr>
          <w:rFonts w:cs="Tahoma"/>
          <w:szCs w:val="20"/>
        </w:rPr>
        <w:t xml:space="preserve"> de</w:t>
      </w:r>
      <w:r w:rsidR="00915225" w:rsidRPr="00362DFA">
        <w:rPr>
          <w:rFonts w:cs="Tahoma"/>
          <w:szCs w:val="20"/>
        </w:rPr>
        <w:t>s Côtes d’Armor</w:t>
      </w:r>
      <w:r w:rsidR="00D65440" w:rsidRPr="00362DFA">
        <w:rPr>
          <w:rFonts w:cs="Tahoma"/>
          <w:szCs w:val="20"/>
        </w:rPr>
        <w:t>,</w:t>
      </w:r>
      <w:r w:rsidRPr="00362DFA">
        <w:rPr>
          <w:rFonts w:cs="Tahoma"/>
          <w:szCs w:val="20"/>
        </w:rPr>
        <w:t xml:space="preserve"> eu égard aux avantages que </w:t>
      </w:r>
      <w:r w:rsidR="00D65440" w:rsidRPr="00362DFA">
        <w:rPr>
          <w:rFonts w:cs="Tahoma"/>
          <w:szCs w:val="20"/>
        </w:rPr>
        <w:t xml:space="preserve">pourrait </w:t>
      </w:r>
      <w:r w:rsidRPr="00362DFA">
        <w:rPr>
          <w:rFonts w:cs="Tahoma"/>
          <w:szCs w:val="20"/>
        </w:rPr>
        <w:t>présente</w:t>
      </w:r>
      <w:r w:rsidR="00D65440" w:rsidRPr="00362DFA">
        <w:rPr>
          <w:rFonts w:cs="Tahoma"/>
          <w:szCs w:val="20"/>
        </w:rPr>
        <w:t>r</w:t>
      </w:r>
      <w:r w:rsidRPr="00362DFA">
        <w:rPr>
          <w:rFonts w:cs="Tahoma"/>
          <w:szCs w:val="20"/>
        </w:rPr>
        <w:t xml:space="preserve"> cette nouvelle procédure</w:t>
      </w:r>
      <w:r w:rsidRPr="00362DFA">
        <w:rPr>
          <w:rFonts w:cs="Tahoma"/>
          <w:strike/>
          <w:szCs w:val="20"/>
        </w:rPr>
        <w:t>,</w:t>
      </w:r>
      <w:r w:rsidR="00D65440" w:rsidRPr="00362DFA">
        <w:rPr>
          <w:rFonts w:cs="Tahoma"/>
          <w:szCs w:val="20"/>
        </w:rPr>
        <w:t xml:space="preserve"> si</w:t>
      </w:r>
      <w:r w:rsidR="00342228" w:rsidRPr="00362DFA">
        <w:rPr>
          <w:rFonts w:cs="Tahoma"/>
          <w:szCs w:val="20"/>
        </w:rPr>
        <w:t xml:space="preserve"> un litige</w:t>
      </w:r>
      <w:r w:rsidR="00D65440" w:rsidRPr="00362DFA">
        <w:rPr>
          <w:rFonts w:cs="Tahoma"/>
          <w:szCs w:val="20"/>
        </w:rPr>
        <w:t xml:space="preserve"> naissait entre un agent et la collectivité.</w:t>
      </w:r>
    </w:p>
    <w:p w:rsidR="00146F9B" w:rsidRPr="00362DFA" w:rsidRDefault="00146F9B" w:rsidP="00C122E1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DE6337" w:rsidRPr="00362DFA" w:rsidRDefault="00DE6337" w:rsidP="00DE6337">
      <w:pPr>
        <w:pStyle w:val="Texte"/>
        <w:spacing w:before="240"/>
        <w:ind w:left="0"/>
        <w:rPr>
          <w:rFonts w:asciiTheme="minorHAnsi" w:eastAsiaTheme="minorHAnsi" w:hAnsiTheme="minorHAnsi" w:cs="Tahoma"/>
          <w:sz w:val="22"/>
          <w:szCs w:val="20"/>
        </w:rPr>
      </w:pP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Le conseil prend acte que les recours contentieux formés contre </w:t>
      </w:r>
      <w:r w:rsidR="00291757" w:rsidRPr="00362DFA">
        <w:rPr>
          <w:rFonts w:asciiTheme="minorHAnsi" w:eastAsiaTheme="minorHAnsi" w:hAnsiTheme="minorHAnsi" w:cs="Tahoma"/>
          <w:sz w:val="22"/>
          <w:szCs w:val="20"/>
        </w:rPr>
        <w:t>l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es décisions </w:t>
      </w:r>
      <w:r w:rsidR="00E81EEA" w:rsidRPr="00362DFA">
        <w:rPr>
          <w:rFonts w:asciiTheme="minorHAnsi" w:eastAsiaTheme="minorHAnsi" w:hAnsiTheme="minorHAnsi" w:cs="Tahoma"/>
          <w:sz w:val="22"/>
          <w:szCs w:val="20"/>
        </w:rPr>
        <w:t>administratives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 dont la liste est </w:t>
      </w:r>
      <w:r w:rsidR="00291757" w:rsidRPr="00362DFA">
        <w:rPr>
          <w:rFonts w:asciiTheme="minorHAnsi" w:eastAsiaTheme="minorHAnsi" w:hAnsiTheme="minorHAnsi" w:cs="Tahoma"/>
          <w:sz w:val="22"/>
          <w:szCs w:val="20"/>
        </w:rPr>
        <w:t>fixée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 par le décret n° 2022-</w:t>
      </w:r>
      <w:r w:rsidR="00291757" w:rsidRPr="00362DFA">
        <w:rPr>
          <w:rFonts w:asciiTheme="minorHAnsi" w:eastAsiaTheme="minorHAnsi" w:hAnsiTheme="minorHAnsi" w:cs="Tahoma"/>
          <w:sz w:val="22"/>
          <w:szCs w:val="20"/>
        </w:rPr>
        <w:t>433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 </w:t>
      </w:r>
      <w:r w:rsidR="00291757" w:rsidRPr="00362DFA">
        <w:rPr>
          <w:rFonts w:asciiTheme="minorHAnsi" w:eastAsiaTheme="minorHAnsi" w:hAnsiTheme="minorHAnsi" w:cs="Tahoma"/>
          <w:sz w:val="22"/>
          <w:szCs w:val="20"/>
        </w:rPr>
        <w:t>précité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 et qui concernent la situation </w:t>
      </w:r>
      <w:r w:rsidR="00291757" w:rsidRPr="00362DFA">
        <w:rPr>
          <w:rFonts w:asciiTheme="minorHAnsi" w:eastAsiaTheme="minorHAnsi" w:hAnsiTheme="minorHAnsi" w:cs="Tahoma"/>
          <w:sz w:val="22"/>
          <w:szCs w:val="20"/>
        </w:rPr>
        <w:t xml:space="preserve">d’un </w:t>
      </w:r>
      <w:r w:rsidRPr="00362DFA">
        <w:rPr>
          <w:rFonts w:asciiTheme="minorHAnsi" w:eastAsiaTheme="minorHAnsi" w:hAnsiTheme="minorHAnsi" w:cs="Tahoma"/>
          <w:sz w:val="22"/>
          <w:szCs w:val="20"/>
        </w:rPr>
        <w:t>agent sont, à peine d’irrecevabilité, obligatoirement précédés d’une tentative de médiation.</w:t>
      </w:r>
    </w:p>
    <w:p w:rsidR="00DE6337" w:rsidRPr="00362DFA" w:rsidRDefault="00DE6337" w:rsidP="00DE6337">
      <w:pPr>
        <w:pStyle w:val="Texte"/>
        <w:spacing w:before="240"/>
        <w:ind w:left="0"/>
        <w:rPr>
          <w:rFonts w:asciiTheme="minorHAnsi" w:eastAsiaTheme="minorHAnsi" w:hAnsiTheme="minorHAnsi" w:cs="Tahoma"/>
          <w:sz w:val="22"/>
          <w:szCs w:val="20"/>
        </w:rPr>
      </w:pPr>
      <w:r w:rsidRPr="00362DFA">
        <w:rPr>
          <w:rFonts w:asciiTheme="minorHAnsi" w:eastAsiaTheme="minorHAnsi" w:hAnsiTheme="minorHAnsi" w:cs="Tahoma"/>
          <w:sz w:val="22"/>
          <w:szCs w:val="20"/>
        </w:rPr>
        <w:t>En dehors de</w:t>
      </w:r>
      <w:r w:rsidR="009D0538" w:rsidRPr="00362DFA">
        <w:rPr>
          <w:rFonts w:asciiTheme="minorHAnsi" w:eastAsiaTheme="minorHAnsi" w:hAnsiTheme="minorHAnsi" w:cs="Tahoma"/>
          <w:sz w:val="22"/>
          <w:szCs w:val="20"/>
        </w:rPr>
        <w:t xml:space="preserve"> </w:t>
      </w:r>
      <w:r w:rsidRPr="00362DFA">
        <w:rPr>
          <w:rFonts w:asciiTheme="minorHAnsi" w:eastAsiaTheme="minorHAnsi" w:hAnsiTheme="minorHAnsi" w:cs="Tahoma"/>
          <w:sz w:val="22"/>
          <w:szCs w:val="20"/>
        </w:rPr>
        <w:t xml:space="preserve">cette liste, la collectivité garde son libre arbitre de faire appel au Centre de gestion </w:t>
      </w:r>
      <w:r w:rsidR="009D0538" w:rsidRPr="00362DFA">
        <w:rPr>
          <w:rFonts w:asciiTheme="minorHAnsi" w:eastAsiaTheme="minorHAnsi" w:hAnsiTheme="minorHAnsi" w:cs="Tahoma"/>
          <w:sz w:val="22"/>
          <w:szCs w:val="20"/>
        </w:rPr>
        <w:t xml:space="preserve">en cas de litige, </w:t>
      </w:r>
      <w:r w:rsidRPr="00362DFA">
        <w:rPr>
          <w:rFonts w:asciiTheme="minorHAnsi" w:eastAsiaTheme="minorHAnsi" w:hAnsiTheme="minorHAnsi" w:cs="Tahoma"/>
          <w:sz w:val="22"/>
          <w:szCs w:val="20"/>
        </w:rPr>
        <w:t>si elle l’estime utile (médiation conventionnelle et à l’initiative du juge).</w:t>
      </w:r>
    </w:p>
    <w:p w:rsidR="00146F9B" w:rsidRPr="00362DFA" w:rsidRDefault="00146F9B" w:rsidP="00C122E1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D65440" w:rsidRPr="00362DFA" w:rsidRDefault="00D65440" w:rsidP="00C122E1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D74E89" w:rsidRPr="00362DFA" w:rsidRDefault="002C20B0" w:rsidP="00C122E1">
      <w:pPr>
        <w:pStyle w:val="Sansinterligne"/>
        <w:tabs>
          <w:tab w:val="left" w:leader="dot" w:pos="4962"/>
        </w:tabs>
        <w:rPr>
          <w:rFonts w:cs="Tahoma"/>
          <w:szCs w:val="20"/>
        </w:rPr>
      </w:pPr>
      <w:r w:rsidRPr="00362DFA">
        <w:rPr>
          <w:rFonts w:cs="Tahoma"/>
          <w:szCs w:val="20"/>
        </w:rPr>
        <w:t>Le conseil municipal/d’administration</w:t>
      </w:r>
      <w:r w:rsidR="00C70FC1" w:rsidRPr="00362DFA">
        <w:rPr>
          <w:rFonts w:cs="Tahoma"/>
          <w:szCs w:val="20"/>
        </w:rPr>
        <w:t xml:space="preserve"> / communautaire / syndical</w:t>
      </w:r>
      <w:r w:rsidRPr="00362DFA">
        <w:rPr>
          <w:rFonts w:cs="Tahoma"/>
          <w:szCs w:val="20"/>
        </w:rPr>
        <w:t>, après avoir délibéré :</w:t>
      </w:r>
    </w:p>
    <w:p w:rsidR="002C20B0" w:rsidRPr="00362DFA" w:rsidRDefault="002C20B0" w:rsidP="00C122E1">
      <w:pPr>
        <w:pStyle w:val="Sansinterligne"/>
        <w:tabs>
          <w:tab w:val="left" w:leader="dot" w:pos="4962"/>
        </w:tabs>
        <w:spacing w:line="276" w:lineRule="auto"/>
        <w:rPr>
          <w:rFonts w:cs="Tahoma"/>
          <w:szCs w:val="20"/>
        </w:rPr>
      </w:pPr>
    </w:p>
    <w:p w:rsidR="00C70FC1" w:rsidRPr="00362DFA" w:rsidRDefault="00C70FC1" w:rsidP="00C122E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 xml:space="preserve">Vu le </w:t>
      </w:r>
      <w:r w:rsidR="002410CE" w:rsidRPr="00362DFA">
        <w:rPr>
          <w:rFonts w:cs="Tahoma"/>
          <w:szCs w:val="20"/>
        </w:rPr>
        <w:t>c</w:t>
      </w:r>
      <w:r w:rsidRPr="00362DFA">
        <w:rPr>
          <w:rFonts w:cs="Tahoma"/>
          <w:szCs w:val="20"/>
        </w:rPr>
        <w:t xml:space="preserve">ode de </w:t>
      </w:r>
      <w:r w:rsidR="002410CE" w:rsidRPr="00362DFA">
        <w:rPr>
          <w:rFonts w:cs="Tahoma"/>
          <w:szCs w:val="20"/>
        </w:rPr>
        <w:t>j</w:t>
      </w:r>
      <w:r w:rsidRPr="00362DFA">
        <w:rPr>
          <w:rFonts w:cs="Tahoma"/>
          <w:szCs w:val="20"/>
        </w:rPr>
        <w:t>ustice administrative,</w:t>
      </w:r>
      <w:r w:rsidR="00915225" w:rsidRPr="00362DFA">
        <w:rPr>
          <w:rFonts w:cs="Tahoma"/>
          <w:szCs w:val="20"/>
        </w:rPr>
        <w:t xml:space="preserve"> et notamment les article L.213-1 et suivants et les articles R. 213-1 et suivants</w:t>
      </w:r>
      <w:r w:rsidR="00941EB6" w:rsidRPr="00362DFA">
        <w:rPr>
          <w:rFonts w:cs="Tahoma"/>
          <w:szCs w:val="20"/>
        </w:rPr>
        <w:t xml:space="preserve"> </w:t>
      </w:r>
      <w:r w:rsidR="00915225" w:rsidRPr="00362DFA">
        <w:rPr>
          <w:rFonts w:cs="Tahoma"/>
          <w:szCs w:val="20"/>
        </w:rPr>
        <w:t>;</w:t>
      </w:r>
    </w:p>
    <w:p w:rsidR="00C70FC1" w:rsidRPr="00362DFA" w:rsidRDefault="00C70FC1" w:rsidP="00C122E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>Vu la Loi n° 84-53 du 26 janvier 1984 portant dispositions statutaires relatives à la fonction publique territoriale et notamment son article 25</w:t>
      </w:r>
      <w:r w:rsidR="00C122E1" w:rsidRPr="00362DFA">
        <w:rPr>
          <w:rFonts w:cs="Tahoma"/>
          <w:szCs w:val="20"/>
        </w:rPr>
        <w:t>-2</w:t>
      </w:r>
      <w:r w:rsidRPr="00362DFA">
        <w:rPr>
          <w:rFonts w:cs="Tahoma"/>
          <w:szCs w:val="20"/>
        </w:rPr>
        <w:t>,</w:t>
      </w:r>
    </w:p>
    <w:p w:rsidR="00C70FC1" w:rsidRPr="00362DFA" w:rsidRDefault="00F30EEE" w:rsidP="00C122E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 xml:space="preserve">Vu la </w:t>
      </w:r>
      <w:r w:rsidR="00903BA5" w:rsidRPr="00362DFA">
        <w:rPr>
          <w:rFonts w:cs="Tahoma"/>
          <w:szCs w:val="20"/>
        </w:rPr>
        <w:t>L</w:t>
      </w:r>
      <w:r w:rsidRPr="00362DFA">
        <w:rPr>
          <w:rFonts w:cs="Tahoma"/>
          <w:szCs w:val="20"/>
        </w:rPr>
        <w:t>oi n°2021-1729 du 22 décembre 2021 pour la confiance dans l’institution judiciaire,</w:t>
      </w:r>
    </w:p>
    <w:p w:rsidR="00F30EEE" w:rsidRPr="00362DFA" w:rsidRDefault="00F30EEE" w:rsidP="00C122E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>Vu le décret n°2022-433 du 25 mars 2022 relatif à la procédure de médiation préalable obligatoire applicable à certains litiges de la fonction publique et à certains litiges sociaux,</w:t>
      </w:r>
    </w:p>
    <w:p w:rsidR="00E20AE3" w:rsidRPr="00CC4CB6" w:rsidRDefault="00E20AE3" w:rsidP="00CC4CB6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CC4CB6">
        <w:rPr>
          <w:rFonts w:cstheme="minorHAnsi"/>
          <w:szCs w:val="20"/>
        </w:rPr>
        <w:t>Vu l</w:t>
      </w:r>
      <w:r w:rsidR="00CC4CB6" w:rsidRPr="00CC4CB6">
        <w:rPr>
          <w:rFonts w:cstheme="minorHAnsi"/>
          <w:szCs w:val="20"/>
        </w:rPr>
        <w:t xml:space="preserve">a convention générale fixant les conditions générales </w:t>
      </w:r>
      <w:r w:rsidR="00CC4CB6" w:rsidRPr="00CC4CB6">
        <w:rPr>
          <w:rFonts w:cstheme="minorHAnsi"/>
        </w:rPr>
        <w:t>d’exercice dans les collectivités affiliées,</w:t>
      </w:r>
    </w:p>
    <w:p w:rsidR="00720FE4" w:rsidRPr="00362DFA" w:rsidRDefault="00720FE4" w:rsidP="00C122E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Cs w:val="20"/>
        </w:rPr>
      </w:pPr>
      <w:r w:rsidRPr="00362DFA">
        <w:rPr>
          <w:rFonts w:cs="Tahoma"/>
          <w:szCs w:val="20"/>
        </w:rPr>
        <w:t>Vu l</w:t>
      </w:r>
      <w:r w:rsidR="00CC4CB6">
        <w:rPr>
          <w:rFonts w:cs="Tahoma"/>
          <w:szCs w:val="20"/>
        </w:rPr>
        <w:t>a</w:t>
      </w:r>
      <w:r w:rsidRPr="00362DFA">
        <w:rPr>
          <w:rFonts w:cs="Tahoma"/>
          <w:szCs w:val="20"/>
        </w:rPr>
        <w:t xml:space="preserve"> délibération </w:t>
      </w:r>
      <w:r w:rsidR="008F23EE" w:rsidRPr="00362DFA">
        <w:rPr>
          <w:rFonts w:cs="Tahoma"/>
          <w:szCs w:val="20"/>
        </w:rPr>
        <w:t xml:space="preserve">du </w:t>
      </w:r>
      <w:r w:rsidR="00915225" w:rsidRPr="00362DFA">
        <w:rPr>
          <w:rFonts w:cs="Tahoma"/>
          <w:szCs w:val="20"/>
        </w:rPr>
        <w:t>1</w:t>
      </w:r>
      <w:r w:rsidR="0063783D" w:rsidRPr="00362DFA">
        <w:rPr>
          <w:rFonts w:cs="Tahoma"/>
          <w:szCs w:val="20"/>
          <w:vertAlign w:val="superscript"/>
        </w:rPr>
        <w:t>er</w:t>
      </w:r>
      <w:r w:rsidR="00915225" w:rsidRPr="00362DFA">
        <w:rPr>
          <w:rFonts w:cs="Tahoma"/>
          <w:szCs w:val="20"/>
        </w:rPr>
        <w:t xml:space="preserve"> juillet 2022 du Centre de Gestion des Côtes d’Armor,</w:t>
      </w:r>
    </w:p>
    <w:p w:rsidR="00A12E89" w:rsidRPr="00362DFA" w:rsidRDefault="00A12E89" w:rsidP="00C122E1">
      <w:pPr>
        <w:pStyle w:val="Sansinterligne"/>
        <w:spacing w:line="276" w:lineRule="auto"/>
        <w:rPr>
          <w:rFonts w:cs="Tahoma"/>
          <w:szCs w:val="20"/>
        </w:rPr>
      </w:pPr>
    </w:p>
    <w:p w:rsidR="00A12E89" w:rsidRPr="00362DFA" w:rsidRDefault="00A12E89" w:rsidP="00656BC9">
      <w:pPr>
        <w:pStyle w:val="Sansinterligne"/>
        <w:rPr>
          <w:rFonts w:cs="Tahoma"/>
          <w:szCs w:val="20"/>
        </w:rPr>
      </w:pPr>
      <w:r w:rsidRPr="00362DFA">
        <w:rPr>
          <w:rFonts w:cs="Tahoma"/>
          <w:szCs w:val="20"/>
        </w:rPr>
        <w:t xml:space="preserve">Considérant l’intérêt pour la collectivité d’adhérer </w:t>
      </w:r>
      <w:r w:rsidR="00F30EEE" w:rsidRPr="00362DFA">
        <w:rPr>
          <w:rFonts w:cs="Tahoma"/>
          <w:szCs w:val="20"/>
        </w:rPr>
        <w:t>à la procédure</w:t>
      </w:r>
      <w:r w:rsidR="00CC0E9D" w:rsidRPr="00362DFA">
        <w:rPr>
          <w:rFonts w:cs="Tahoma"/>
          <w:szCs w:val="20"/>
        </w:rPr>
        <w:t xml:space="preserve"> de médiation</w:t>
      </w:r>
      <w:r w:rsidRPr="00362DFA">
        <w:rPr>
          <w:rFonts w:cs="Tahoma"/>
          <w:szCs w:val="20"/>
        </w:rPr>
        <w:t xml:space="preserve"> au regard de l’objet et des modalités proposées,</w:t>
      </w:r>
    </w:p>
    <w:p w:rsidR="00A12E89" w:rsidRPr="00362DFA" w:rsidRDefault="00A12E89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2C20B0" w:rsidRPr="00362DFA" w:rsidRDefault="002C20B0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  <w:r w:rsidRPr="00362DFA">
        <w:rPr>
          <w:rFonts w:cs="Tahoma"/>
          <w:b/>
          <w:szCs w:val="20"/>
        </w:rPr>
        <w:t>DECIDE</w:t>
      </w:r>
      <w:r w:rsidRPr="00362DFA">
        <w:rPr>
          <w:rFonts w:cs="Tahoma"/>
          <w:szCs w:val="20"/>
        </w:rPr>
        <w:t xml:space="preserve"> d’adhérer à la procédure de médiation </w:t>
      </w:r>
      <w:r w:rsidR="00540DB1" w:rsidRPr="00362DFA">
        <w:rPr>
          <w:rFonts w:cs="Tahoma"/>
          <w:szCs w:val="20"/>
        </w:rPr>
        <w:t xml:space="preserve">proposée par le CDG </w:t>
      </w:r>
      <w:r w:rsidR="00A00426" w:rsidRPr="00362DFA">
        <w:rPr>
          <w:rFonts w:cs="Tahoma"/>
          <w:szCs w:val="20"/>
        </w:rPr>
        <w:t xml:space="preserve">22 </w:t>
      </w:r>
      <w:r w:rsidRPr="00362DFA">
        <w:rPr>
          <w:rFonts w:cs="Tahoma"/>
          <w:szCs w:val="20"/>
        </w:rPr>
        <w:t>pour les litiges concernés</w:t>
      </w:r>
      <w:r w:rsidR="00F30EEE" w:rsidRPr="00362DFA">
        <w:rPr>
          <w:rFonts w:cs="Tahoma"/>
          <w:szCs w:val="20"/>
        </w:rPr>
        <w:t>.</w:t>
      </w:r>
    </w:p>
    <w:p w:rsidR="002C20B0" w:rsidRPr="00362DFA" w:rsidRDefault="002C20B0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2C20B0" w:rsidRPr="00362DFA" w:rsidRDefault="002C20B0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  <w:r w:rsidRPr="00362DFA">
        <w:rPr>
          <w:rFonts w:cs="Tahoma"/>
          <w:b/>
          <w:szCs w:val="20"/>
        </w:rPr>
        <w:lastRenderedPageBreak/>
        <w:t>APPROUVE</w:t>
      </w:r>
      <w:r w:rsidR="00F30EEE" w:rsidRPr="00362DFA">
        <w:rPr>
          <w:rFonts w:cs="Tahoma"/>
          <w:szCs w:val="20"/>
        </w:rPr>
        <w:t xml:space="preserve"> la convention</w:t>
      </w:r>
      <w:r w:rsidR="00540DB1" w:rsidRPr="00362DFA">
        <w:rPr>
          <w:rFonts w:cs="Tahoma"/>
          <w:szCs w:val="20"/>
        </w:rPr>
        <w:t xml:space="preserve"> d’adhésion</w:t>
      </w:r>
      <w:r w:rsidR="00642E0A" w:rsidRPr="00362DFA">
        <w:rPr>
          <w:rFonts w:cs="Tahoma"/>
          <w:szCs w:val="20"/>
        </w:rPr>
        <w:t xml:space="preserve"> avec le </w:t>
      </w:r>
      <w:r w:rsidR="00C70FC1" w:rsidRPr="00362DFA">
        <w:rPr>
          <w:rFonts w:cs="Tahoma"/>
          <w:szCs w:val="20"/>
        </w:rPr>
        <w:t xml:space="preserve">CDG </w:t>
      </w:r>
      <w:r w:rsidR="00915225" w:rsidRPr="00362DFA">
        <w:rPr>
          <w:rFonts w:cs="Tahoma"/>
          <w:szCs w:val="20"/>
        </w:rPr>
        <w:t>22</w:t>
      </w:r>
      <w:r w:rsidR="00CA2E6E" w:rsidRPr="00362DFA">
        <w:rPr>
          <w:rFonts w:cs="Tahoma"/>
          <w:szCs w:val="20"/>
        </w:rPr>
        <w:t>, qui concernera les litiges portant sur d</w:t>
      </w:r>
      <w:r w:rsidR="00642E0A" w:rsidRPr="00362DFA">
        <w:rPr>
          <w:rFonts w:cs="Tahoma"/>
          <w:szCs w:val="20"/>
        </w:rPr>
        <w:t>es décisions nées à compter</w:t>
      </w:r>
      <w:proofErr w:type="gramStart"/>
      <w:r w:rsidR="00642E0A" w:rsidRPr="00362DFA">
        <w:rPr>
          <w:rFonts w:cs="Tahoma"/>
          <w:szCs w:val="20"/>
        </w:rPr>
        <w:t xml:space="preserve"> </w:t>
      </w:r>
      <w:r w:rsidR="00915225" w:rsidRPr="00362DFA">
        <w:rPr>
          <w:rFonts w:cs="Tahoma"/>
          <w:szCs w:val="20"/>
        </w:rPr>
        <w:t>….</w:t>
      </w:r>
      <w:proofErr w:type="gramEnd"/>
      <w:r w:rsidR="00065BD9" w:rsidRPr="00362DFA">
        <w:rPr>
          <w:rFonts w:cs="Tahoma"/>
          <w:szCs w:val="20"/>
        </w:rPr>
        <w:t>, sous réserve d’une saisine du médiateur dans le délai de recours contentieux.</w:t>
      </w:r>
    </w:p>
    <w:p w:rsidR="00215CD1" w:rsidRPr="00362DFA" w:rsidRDefault="00215CD1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215CD1" w:rsidRPr="00362DFA" w:rsidRDefault="00215CD1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  <w:r w:rsidRPr="00362DFA">
        <w:rPr>
          <w:rFonts w:cs="Tahoma"/>
          <w:b/>
          <w:szCs w:val="20"/>
        </w:rPr>
        <w:t>AUTORISE</w:t>
      </w:r>
      <w:r w:rsidR="00C70FC1" w:rsidRPr="00362DFA">
        <w:rPr>
          <w:rFonts w:cs="Tahoma"/>
          <w:szCs w:val="20"/>
        </w:rPr>
        <w:t xml:space="preserve"> Madame/Monsieur le M</w:t>
      </w:r>
      <w:r w:rsidRPr="00362DFA">
        <w:rPr>
          <w:rFonts w:cs="Tahoma"/>
          <w:szCs w:val="20"/>
        </w:rPr>
        <w:t>aire/</w:t>
      </w:r>
      <w:r w:rsidR="00C70FC1" w:rsidRPr="00362DFA">
        <w:rPr>
          <w:rFonts w:cs="Tahoma"/>
          <w:szCs w:val="20"/>
        </w:rPr>
        <w:t>P</w:t>
      </w:r>
      <w:r w:rsidRPr="00362DFA">
        <w:rPr>
          <w:rFonts w:cs="Tahoma"/>
          <w:szCs w:val="20"/>
        </w:rPr>
        <w:t>résident</w:t>
      </w:r>
      <w:r w:rsidR="00C70FC1" w:rsidRPr="00362DFA">
        <w:rPr>
          <w:rFonts w:cs="Tahoma"/>
          <w:szCs w:val="20"/>
        </w:rPr>
        <w:t xml:space="preserve">(e) </w:t>
      </w:r>
      <w:r w:rsidRPr="00362DFA">
        <w:rPr>
          <w:rFonts w:cs="Tahoma"/>
          <w:szCs w:val="20"/>
        </w:rPr>
        <w:t>à signer cette convention</w:t>
      </w:r>
      <w:r w:rsidR="0075534E" w:rsidRPr="00362DFA">
        <w:rPr>
          <w:rFonts w:cs="Tahoma"/>
          <w:szCs w:val="20"/>
        </w:rPr>
        <w:t xml:space="preserve"> qui sera</w:t>
      </w:r>
      <w:r w:rsidR="00146F9B" w:rsidRPr="00362DFA">
        <w:rPr>
          <w:rFonts w:cs="Tahoma"/>
          <w:szCs w:val="20"/>
        </w:rPr>
        <w:t xml:space="preserve"> transm</w:t>
      </w:r>
      <w:r w:rsidR="0075534E" w:rsidRPr="00362DFA">
        <w:rPr>
          <w:rFonts w:cs="Tahoma"/>
          <w:szCs w:val="20"/>
        </w:rPr>
        <w:t>is</w:t>
      </w:r>
      <w:r w:rsidR="00910B95" w:rsidRPr="00362DFA">
        <w:rPr>
          <w:rFonts w:cs="Tahoma"/>
          <w:szCs w:val="20"/>
        </w:rPr>
        <w:t>e</w:t>
      </w:r>
      <w:r w:rsidR="0075534E" w:rsidRPr="00362DFA">
        <w:rPr>
          <w:rFonts w:cs="Tahoma"/>
          <w:szCs w:val="20"/>
        </w:rPr>
        <w:t xml:space="preserve"> par le</w:t>
      </w:r>
      <w:r w:rsidR="00146F9B" w:rsidRPr="00362DFA">
        <w:rPr>
          <w:rFonts w:cs="Tahoma"/>
          <w:szCs w:val="20"/>
        </w:rPr>
        <w:t xml:space="preserve"> Centre de gestion </w:t>
      </w:r>
      <w:r w:rsidR="00C70FC1" w:rsidRPr="00362DFA">
        <w:rPr>
          <w:rFonts w:cs="Tahoma"/>
          <w:szCs w:val="20"/>
        </w:rPr>
        <w:t>d</w:t>
      </w:r>
      <w:r w:rsidR="00915225" w:rsidRPr="00362DFA">
        <w:rPr>
          <w:rFonts w:cs="Tahoma"/>
          <w:szCs w:val="20"/>
        </w:rPr>
        <w:t>es Côtes d’Armor</w:t>
      </w:r>
      <w:r w:rsidR="00910B95" w:rsidRPr="00362DFA">
        <w:rPr>
          <w:rFonts w:cs="Tahoma"/>
          <w:szCs w:val="20"/>
        </w:rPr>
        <w:t xml:space="preserve"> </w:t>
      </w:r>
      <w:r w:rsidR="00146F9B" w:rsidRPr="00362DFA">
        <w:rPr>
          <w:rFonts w:cs="Tahoma"/>
          <w:szCs w:val="20"/>
        </w:rPr>
        <w:t xml:space="preserve">pour information au tribunal administratif de </w:t>
      </w:r>
      <w:r w:rsidR="00C70FC1" w:rsidRPr="00362DFA">
        <w:rPr>
          <w:rFonts w:cs="Tahoma"/>
          <w:szCs w:val="20"/>
        </w:rPr>
        <w:t>RENNES</w:t>
      </w:r>
      <w:r w:rsidR="00915225" w:rsidRPr="00362DFA">
        <w:rPr>
          <w:rFonts w:cs="Tahoma"/>
          <w:szCs w:val="20"/>
        </w:rPr>
        <w:t>.</w:t>
      </w:r>
    </w:p>
    <w:p w:rsidR="00F73DB3" w:rsidRPr="00362DFA" w:rsidRDefault="00F73DB3" w:rsidP="00656BC9">
      <w:pPr>
        <w:pStyle w:val="Sansinterligne"/>
        <w:tabs>
          <w:tab w:val="left" w:leader="dot" w:pos="4962"/>
        </w:tabs>
        <w:rPr>
          <w:rFonts w:cs="Tahoma"/>
          <w:szCs w:val="20"/>
        </w:rPr>
      </w:pPr>
    </w:p>
    <w:p w:rsidR="00A2071D" w:rsidRPr="00362DFA" w:rsidRDefault="00A2071D" w:rsidP="00656BC9">
      <w:pPr>
        <w:pStyle w:val="Corpsdetexte"/>
        <w:jc w:val="left"/>
        <w:rPr>
          <w:rFonts w:ascii="Trebuchet MS" w:hAnsi="Trebuchet MS"/>
          <w:b/>
          <w:sz w:val="20"/>
        </w:rPr>
      </w:pPr>
    </w:p>
    <w:p w:rsidR="00A2071D" w:rsidRPr="00362DFA" w:rsidRDefault="00A2071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18"/>
          <w:szCs w:val="18"/>
        </w:rPr>
      </w:pPr>
      <w:r w:rsidRPr="00362DFA">
        <w:rPr>
          <w:rFonts w:ascii="Trebuchet MS" w:hAnsi="Trebuchet MS" w:cs="Tahoma"/>
          <w:b/>
          <w:kern w:val="28"/>
          <w:sz w:val="18"/>
          <w:szCs w:val="18"/>
        </w:rPr>
        <w:t>Madame/Monsieur le Maire/Président(e),</w:t>
      </w:r>
    </w:p>
    <w:p w:rsidR="00A2071D" w:rsidRPr="00362DFA" w:rsidRDefault="00A2071D" w:rsidP="00656BC9">
      <w:pPr>
        <w:pStyle w:val="Corpsdetexte"/>
        <w:rPr>
          <w:rFonts w:ascii="Trebuchet MS" w:hAnsi="Trebuchet MS"/>
          <w:sz w:val="18"/>
          <w:szCs w:val="18"/>
        </w:rPr>
      </w:pPr>
      <w:r w:rsidRPr="00362DFA">
        <w:rPr>
          <w:rFonts w:ascii="Trebuchet MS" w:hAnsi="Trebuchet MS"/>
          <w:sz w:val="18"/>
          <w:szCs w:val="18"/>
        </w:rPr>
        <w:t>- certifie sous sa responsabilité le caractère exécutoire de cet acte,</w:t>
      </w:r>
    </w:p>
    <w:p w:rsidR="00A2071D" w:rsidRPr="00362DFA" w:rsidRDefault="00A2071D" w:rsidP="00656BC9">
      <w:pPr>
        <w:pStyle w:val="Corpsdetexte"/>
        <w:rPr>
          <w:rFonts w:ascii="Trebuchet MS" w:hAnsi="Trebuchet MS"/>
          <w:sz w:val="18"/>
          <w:szCs w:val="18"/>
        </w:rPr>
      </w:pPr>
      <w:r w:rsidRPr="00362DFA">
        <w:rPr>
          <w:rFonts w:ascii="Trebuchet MS" w:hAnsi="Trebuchet MS"/>
          <w:sz w:val="18"/>
          <w:szCs w:val="18"/>
        </w:rPr>
        <w:t>- informe que la présente délibération peut faire l’objet d’un recours pour excès de pouvoir devant le Tribunal Administratif dans un délai de 2 mois à compter de sa notification, sa réception par le représentant de l’Etat et sa publication.</w:t>
      </w:r>
    </w:p>
    <w:p w:rsidR="00A2071D" w:rsidRPr="00362DFA" w:rsidRDefault="00A2071D" w:rsidP="00A2071D">
      <w:pPr>
        <w:pStyle w:val="Corpsdetexte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362DFA">
        <w:rPr>
          <w:rFonts w:ascii="Trebuchet MS" w:hAnsi="Trebuchet MS"/>
          <w:sz w:val="20"/>
        </w:rPr>
        <w:t>Fait à …………………………,</w:t>
      </w: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362DFA">
        <w:rPr>
          <w:rFonts w:ascii="Trebuchet MS" w:hAnsi="Trebuchet MS"/>
          <w:sz w:val="20"/>
        </w:rPr>
        <w:t xml:space="preserve">Le ………………………………, </w:t>
      </w: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362DFA">
        <w:rPr>
          <w:rFonts w:ascii="Trebuchet MS" w:hAnsi="Trebuchet MS"/>
          <w:sz w:val="20"/>
        </w:rPr>
        <w:t xml:space="preserve">Le Maire/Président(e) </w:t>
      </w:r>
      <w:r w:rsidRPr="00362DFA">
        <w:rPr>
          <w:rFonts w:ascii="Trebuchet MS" w:hAnsi="Trebuchet MS"/>
          <w:sz w:val="20"/>
        </w:rPr>
        <w:tab/>
      </w: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362DFA">
        <w:rPr>
          <w:rFonts w:ascii="Trebuchet MS" w:hAnsi="Trebuchet MS"/>
          <w:sz w:val="20"/>
        </w:rPr>
        <w:t>M./Mme ………………………………</w:t>
      </w:r>
    </w:p>
    <w:p w:rsidR="00A2071D" w:rsidRPr="00362DFA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:rsidR="00A2071D" w:rsidRPr="00362DFA" w:rsidRDefault="00A2071D" w:rsidP="002C20B0">
      <w:pPr>
        <w:pStyle w:val="Sansinterligne"/>
        <w:tabs>
          <w:tab w:val="left" w:leader="dot" w:pos="4962"/>
        </w:tabs>
        <w:spacing w:line="276" w:lineRule="auto"/>
        <w:rPr>
          <w:rFonts w:ascii="Trebuchet MS" w:hAnsi="Trebuchet MS" w:cs="Tahoma"/>
          <w:kern w:val="28"/>
          <w:sz w:val="20"/>
          <w:szCs w:val="20"/>
        </w:rPr>
      </w:pPr>
    </w:p>
    <w:sectPr w:rsidR="00A2071D" w:rsidRPr="00362DFA" w:rsidSect="00B86C1F">
      <w:footerReference w:type="default" r:id="rId10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D8" w:rsidRDefault="00626ED8" w:rsidP="00D74E89">
      <w:pPr>
        <w:spacing w:after="0" w:line="240" w:lineRule="auto"/>
      </w:pPr>
      <w:r>
        <w:separator/>
      </w:r>
    </w:p>
  </w:endnote>
  <w:endnote w:type="continuationSeparator" w:id="0">
    <w:p w:rsidR="00626ED8" w:rsidRDefault="00626ED8" w:rsidP="00D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77902734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p w:rsidR="00563EA8" w:rsidRPr="00563EA8" w:rsidRDefault="00E65411" w:rsidP="00563EA8">
        <w:pPr>
          <w:pStyle w:val="Pieddepage"/>
          <w:jc w:val="right"/>
          <w:rPr>
            <w:rFonts w:ascii="Trebuchet MS" w:eastAsiaTheme="majorEastAsia" w:hAnsi="Trebuchet MS" w:cstheme="majorBidi"/>
            <w:sz w:val="16"/>
            <w:szCs w:val="16"/>
          </w:rPr>
        </w:pPr>
        <w:r w:rsidRPr="00E65411">
          <w:rPr>
            <w:rFonts w:eastAsiaTheme="majorEastAsia" w:cstheme="minorHAnsi"/>
            <w:sz w:val="20"/>
            <w:szCs w:val="20"/>
          </w:rPr>
          <w:t>Annexe 2 -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563EA8" w:rsidRPr="00563EA8">
          <w:rPr>
            <w:rFonts w:ascii="Trebuchet MS" w:eastAsiaTheme="majorEastAsia" w:hAnsi="Trebuchet MS" w:cstheme="majorBidi"/>
            <w:sz w:val="16"/>
            <w:szCs w:val="16"/>
          </w:rPr>
          <w:t xml:space="preserve">Modèle – CDG </w:t>
        </w:r>
        <w:r w:rsidR="00915225">
          <w:rPr>
            <w:rFonts w:ascii="Trebuchet MS" w:eastAsiaTheme="majorEastAsia" w:hAnsi="Trebuchet MS" w:cstheme="majorBidi"/>
            <w:sz w:val="16"/>
            <w:szCs w:val="16"/>
          </w:rPr>
          <w:t>22</w:t>
        </w:r>
        <w:r w:rsidR="00563EA8" w:rsidRPr="00563EA8">
          <w:rPr>
            <w:rFonts w:ascii="Trebuchet MS" w:eastAsiaTheme="majorEastAsia" w:hAnsi="Trebuchet MS" w:cstheme="majorBidi"/>
            <w:sz w:val="16"/>
            <w:szCs w:val="16"/>
          </w:rPr>
          <w:t xml:space="preserve"> </w:t>
        </w:r>
        <w:r w:rsidR="00915225">
          <w:rPr>
            <w:rFonts w:ascii="Trebuchet MS" w:eastAsiaTheme="majorEastAsia" w:hAnsi="Trebuchet MS" w:cstheme="majorBidi"/>
            <w:sz w:val="16"/>
            <w:szCs w:val="16"/>
          </w:rPr>
          <w:t>-</w:t>
        </w:r>
        <w:r w:rsidR="003104F0">
          <w:rPr>
            <w:rFonts w:ascii="Trebuchet MS" w:eastAsiaTheme="majorEastAsia" w:hAnsi="Trebuchet MS" w:cstheme="majorBidi"/>
            <w:sz w:val="16"/>
            <w:szCs w:val="16"/>
          </w:rPr>
          <w:t xml:space="preserve"> 2022</w:t>
        </w:r>
      </w:p>
    </w:sdtContent>
  </w:sdt>
  <w:p w:rsidR="00563EA8" w:rsidRDefault="00563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D8" w:rsidRDefault="00626ED8" w:rsidP="00D74E89">
      <w:pPr>
        <w:spacing w:after="0" w:line="240" w:lineRule="auto"/>
      </w:pPr>
      <w:r>
        <w:separator/>
      </w:r>
    </w:p>
  </w:footnote>
  <w:footnote w:type="continuationSeparator" w:id="0">
    <w:p w:rsidR="00626ED8" w:rsidRDefault="00626ED8" w:rsidP="00D7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6224"/>
    <w:multiLevelType w:val="hybridMultilevel"/>
    <w:tmpl w:val="BFEAEE02"/>
    <w:lvl w:ilvl="0" w:tplc="CC2E8DA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0CE7"/>
    <w:multiLevelType w:val="hybridMultilevel"/>
    <w:tmpl w:val="E4E854F0"/>
    <w:lvl w:ilvl="0" w:tplc="F0D6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43FF"/>
    <w:multiLevelType w:val="hybridMultilevel"/>
    <w:tmpl w:val="5F662086"/>
    <w:lvl w:ilvl="0" w:tplc="7D048E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89"/>
    <w:rsid w:val="00036703"/>
    <w:rsid w:val="00065BD9"/>
    <w:rsid w:val="000A7029"/>
    <w:rsid w:val="000C5ACC"/>
    <w:rsid w:val="000E2730"/>
    <w:rsid w:val="00114794"/>
    <w:rsid w:val="00125535"/>
    <w:rsid w:val="0013393A"/>
    <w:rsid w:val="001418E0"/>
    <w:rsid w:val="0014673F"/>
    <w:rsid w:val="00146F9B"/>
    <w:rsid w:val="00160D3F"/>
    <w:rsid w:val="001A727D"/>
    <w:rsid w:val="001F457A"/>
    <w:rsid w:val="00200DBB"/>
    <w:rsid w:val="00215CD1"/>
    <w:rsid w:val="00227700"/>
    <w:rsid w:val="002410CE"/>
    <w:rsid w:val="00291757"/>
    <w:rsid w:val="00297C9E"/>
    <w:rsid w:val="002C20B0"/>
    <w:rsid w:val="002C4821"/>
    <w:rsid w:val="0030795A"/>
    <w:rsid w:val="003104F0"/>
    <w:rsid w:val="00322133"/>
    <w:rsid w:val="00342228"/>
    <w:rsid w:val="00350DE1"/>
    <w:rsid w:val="003533AE"/>
    <w:rsid w:val="00353B22"/>
    <w:rsid w:val="00362DFA"/>
    <w:rsid w:val="003678BB"/>
    <w:rsid w:val="00372558"/>
    <w:rsid w:val="003C58B1"/>
    <w:rsid w:val="003F2E2B"/>
    <w:rsid w:val="00421D95"/>
    <w:rsid w:val="004466CB"/>
    <w:rsid w:val="00452526"/>
    <w:rsid w:val="00481649"/>
    <w:rsid w:val="004F6AB7"/>
    <w:rsid w:val="005215A6"/>
    <w:rsid w:val="00537EC0"/>
    <w:rsid w:val="00540DB1"/>
    <w:rsid w:val="00560D9E"/>
    <w:rsid w:val="00563EA8"/>
    <w:rsid w:val="005769E6"/>
    <w:rsid w:val="00626ED8"/>
    <w:rsid w:val="0063783D"/>
    <w:rsid w:val="00641A20"/>
    <w:rsid w:val="00642E0A"/>
    <w:rsid w:val="00656BC9"/>
    <w:rsid w:val="0067230A"/>
    <w:rsid w:val="00691CED"/>
    <w:rsid w:val="006B53DA"/>
    <w:rsid w:val="006B60D8"/>
    <w:rsid w:val="00700BC7"/>
    <w:rsid w:val="00705B6D"/>
    <w:rsid w:val="00712F7B"/>
    <w:rsid w:val="0071469D"/>
    <w:rsid w:val="00720FE4"/>
    <w:rsid w:val="00745C01"/>
    <w:rsid w:val="0075534E"/>
    <w:rsid w:val="00763EBF"/>
    <w:rsid w:val="00782A45"/>
    <w:rsid w:val="00787373"/>
    <w:rsid w:val="00803B44"/>
    <w:rsid w:val="00811256"/>
    <w:rsid w:val="00837E7C"/>
    <w:rsid w:val="00865255"/>
    <w:rsid w:val="00865742"/>
    <w:rsid w:val="00883EA1"/>
    <w:rsid w:val="00890ED7"/>
    <w:rsid w:val="008C61AD"/>
    <w:rsid w:val="008C623E"/>
    <w:rsid w:val="008D0E57"/>
    <w:rsid w:val="008F12CD"/>
    <w:rsid w:val="008F1979"/>
    <w:rsid w:val="008F23EE"/>
    <w:rsid w:val="00903BA5"/>
    <w:rsid w:val="00910B95"/>
    <w:rsid w:val="00915225"/>
    <w:rsid w:val="00941EB6"/>
    <w:rsid w:val="00992684"/>
    <w:rsid w:val="00996308"/>
    <w:rsid w:val="00996C54"/>
    <w:rsid w:val="009C5AE6"/>
    <w:rsid w:val="009D0538"/>
    <w:rsid w:val="009D0560"/>
    <w:rsid w:val="009D6497"/>
    <w:rsid w:val="009F5371"/>
    <w:rsid w:val="009F58B0"/>
    <w:rsid w:val="00A00426"/>
    <w:rsid w:val="00A12E89"/>
    <w:rsid w:val="00A2071D"/>
    <w:rsid w:val="00A317F8"/>
    <w:rsid w:val="00A461AB"/>
    <w:rsid w:val="00A55376"/>
    <w:rsid w:val="00A70BB0"/>
    <w:rsid w:val="00B12DB6"/>
    <w:rsid w:val="00B158C3"/>
    <w:rsid w:val="00B86C1F"/>
    <w:rsid w:val="00B96BB4"/>
    <w:rsid w:val="00BE1AB6"/>
    <w:rsid w:val="00BF4E59"/>
    <w:rsid w:val="00C122E1"/>
    <w:rsid w:val="00C15448"/>
    <w:rsid w:val="00C26475"/>
    <w:rsid w:val="00C26BCF"/>
    <w:rsid w:val="00C4097A"/>
    <w:rsid w:val="00C504B6"/>
    <w:rsid w:val="00C56E17"/>
    <w:rsid w:val="00C66781"/>
    <w:rsid w:val="00C70FC1"/>
    <w:rsid w:val="00C727C9"/>
    <w:rsid w:val="00C771FE"/>
    <w:rsid w:val="00CA2E6E"/>
    <w:rsid w:val="00CC0E9D"/>
    <w:rsid w:val="00CC4CB6"/>
    <w:rsid w:val="00CD3AFA"/>
    <w:rsid w:val="00CE3718"/>
    <w:rsid w:val="00D03A84"/>
    <w:rsid w:val="00D60D82"/>
    <w:rsid w:val="00D65440"/>
    <w:rsid w:val="00D70F2D"/>
    <w:rsid w:val="00D74E89"/>
    <w:rsid w:val="00D81EA3"/>
    <w:rsid w:val="00DA3669"/>
    <w:rsid w:val="00DB42DB"/>
    <w:rsid w:val="00DB79F6"/>
    <w:rsid w:val="00DE6337"/>
    <w:rsid w:val="00E06286"/>
    <w:rsid w:val="00E0695D"/>
    <w:rsid w:val="00E20AE3"/>
    <w:rsid w:val="00E35994"/>
    <w:rsid w:val="00E40F7E"/>
    <w:rsid w:val="00E545AC"/>
    <w:rsid w:val="00E65411"/>
    <w:rsid w:val="00E81EEA"/>
    <w:rsid w:val="00E84D2F"/>
    <w:rsid w:val="00EA4F0C"/>
    <w:rsid w:val="00ED357C"/>
    <w:rsid w:val="00F1268F"/>
    <w:rsid w:val="00F30B0A"/>
    <w:rsid w:val="00F30EEE"/>
    <w:rsid w:val="00F5290A"/>
    <w:rsid w:val="00F643D6"/>
    <w:rsid w:val="00F73DB3"/>
    <w:rsid w:val="00F76B54"/>
    <w:rsid w:val="00F9741A"/>
    <w:rsid w:val="00FF3612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EE9D1"/>
  <w15:docId w15:val="{ADDEFB2E-6073-45BB-ACB1-5D7DFC5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93A"/>
  </w:style>
  <w:style w:type="paragraph" w:styleId="Titre1">
    <w:name w:val="heading 1"/>
    <w:basedOn w:val="Normal"/>
    <w:link w:val="Titre1Car"/>
    <w:uiPriority w:val="9"/>
    <w:qFormat/>
    <w:rsid w:val="00C12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4E89"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rsid w:val="00D7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E89"/>
  </w:style>
  <w:style w:type="paragraph" w:styleId="Pieddepage">
    <w:name w:val="footer"/>
    <w:basedOn w:val="Normal"/>
    <w:link w:val="PieddepageCar"/>
    <w:uiPriority w:val="99"/>
    <w:unhideWhenUsed/>
    <w:rsid w:val="00D7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E89"/>
  </w:style>
  <w:style w:type="character" w:styleId="Lienhypertexte">
    <w:name w:val="Hyperlink"/>
    <w:basedOn w:val="Policepardfaut"/>
    <w:uiPriority w:val="99"/>
    <w:unhideWhenUsed/>
    <w:rsid w:val="005769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E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A2071D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2071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22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exte">
    <w:name w:val="Texte"/>
    <w:basedOn w:val="Normal"/>
    <w:qFormat/>
    <w:rsid w:val="00DE6337"/>
    <w:pPr>
      <w:spacing w:before="120" w:after="0" w:line="240" w:lineRule="auto"/>
      <w:ind w:left="1418"/>
      <w:jc w:val="both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?cidTexte=JORFTEXT000000885146&amp;idArticle=LEGIARTI000006455185&amp;dateTexte=&amp;categorieLien=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00871608&amp;categorieLien=c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?cidTexte=JORFTEXT000000682037&amp;idArticle=LEGIARTI000006369325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clla</dc:creator>
  <cp:keywords/>
  <dc:description/>
  <cp:lastModifiedBy>Sylvain OREAL</cp:lastModifiedBy>
  <cp:revision>3</cp:revision>
  <cp:lastPrinted>2022-11-09T07:21:00Z</cp:lastPrinted>
  <dcterms:created xsi:type="dcterms:W3CDTF">2022-11-04T07:03:00Z</dcterms:created>
  <dcterms:modified xsi:type="dcterms:W3CDTF">2022-11-09T07:22:00Z</dcterms:modified>
</cp:coreProperties>
</file>